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9CC47" w14:textId="77777777" w:rsidR="009D43DF" w:rsidRDefault="009D43DF" w:rsidP="009D43DF">
      <w:pPr>
        <w:jc w:val="center"/>
      </w:pPr>
      <w:r>
        <w:t>** VERSÃO DE DEMONSTRAÇÃO **</w:t>
      </w:r>
    </w:p>
    <w:p w14:paraId="726C07BD" w14:textId="2031CFAB" w:rsidR="00CE5F77" w:rsidRPr="005722ED" w:rsidRDefault="009D43DF" w:rsidP="009D43DF">
      <w:pPr>
        <w:jc w:val="center"/>
      </w:pPr>
      <w:r>
        <w:t>Obrigado por baixar a versão de visualização gratuita do Kit de documentação Premium da ISO 27001 e ISO 22301.</w:t>
      </w:r>
    </w:p>
    <w:p w14:paraId="2FCA2047" w14:textId="77777777" w:rsidR="00CE5F77" w:rsidRPr="005722ED" w:rsidRDefault="00CE5F77">
      <w:pPr>
        <w:rPr>
          <w:noProof/>
        </w:rPr>
      </w:pPr>
    </w:p>
    <w:p w14:paraId="7B82D9FA" w14:textId="77777777" w:rsidR="00CE5F77" w:rsidRPr="005722ED" w:rsidRDefault="00CE5F77">
      <w:pPr>
        <w:rPr>
          <w:noProof/>
        </w:rPr>
      </w:pPr>
    </w:p>
    <w:p w14:paraId="3D26B74F" w14:textId="77777777" w:rsidR="00CE5F77" w:rsidRPr="005722ED" w:rsidRDefault="00CE5F77">
      <w:pPr>
        <w:rPr>
          <w:noProof/>
        </w:rPr>
      </w:pPr>
    </w:p>
    <w:p w14:paraId="1CDF346C" w14:textId="77777777" w:rsidR="00CE5F77" w:rsidRPr="005722ED" w:rsidRDefault="00CE5F77">
      <w:pPr>
        <w:rPr>
          <w:noProof/>
        </w:rPr>
      </w:pPr>
    </w:p>
    <w:p w14:paraId="575AB0BE" w14:textId="77777777" w:rsidR="00CE5F77" w:rsidRPr="005722ED" w:rsidRDefault="00CE5F77">
      <w:pPr>
        <w:rPr>
          <w:noProof/>
        </w:rPr>
      </w:pPr>
    </w:p>
    <w:p w14:paraId="40C3BC57" w14:textId="6C79A65C" w:rsidR="001203A5" w:rsidRPr="005722ED" w:rsidRDefault="005722ED" w:rsidP="001203A5">
      <w:pPr>
        <w:jc w:val="center"/>
      </w:pPr>
      <w:commentRangeStart w:id="0"/>
      <w:r w:rsidRPr="005722ED">
        <w:rPr>
          <w:rFonts w:eastAsia="Times New Roman"/>
          <w:noProof/>
        </w:rPr>
        <w:t>[logotipo da organização]</w:t>
      </w:r>
      <w:commentRangeEnd w:id="0"/>
      <w:r w:rsidRPr="005722ED">
        <w:rPr>
          <w:rFonts w:eastAsia="Times New Roman"/>
          <w:noProof/>
          <w:sz w:val="16"/>
          <w:szCs w:val="16"/>
        </w:rPr>
        <w:commentReference w:id="0"/>
      </w:r>
    </w:p>
    <w:p w14:paraId="128884E3" w14:textId="301D3D02" w:rsidR="00CE5F77" w:rsidRPr="005722ED" w:rsidRDefault="001203A5" w:rsidP="001203A5">
      <w:pPr>
        <w:jc w:val="center"/>
        <w:rPr>
          <w:noProof/>
        </w:rPr>
      </w:pPr>
      <w:r w:rsidRPr="005722ED">
        <w:t>[nome da organização]</w:t>
      </w:r>
    </w:p>
    <w:p w14:paraId="17876E3F" w14:textId="77777777" w:rsidR="00CE5F77" w:rsidRPr="005722ED" w:rsidRDefault="00CE5F77" w:rsidP="00CE5F77">
      <w:pPr>
        <w:jc w:val="center"/>
        <w:rPr>
          <w:noProof/>
        </w:rPr>
      </w:pPr>
    </w:p>
    <w:p w14:paraId="3E8195D1" w14:textId="77777777" w:rsidR="00CE5F77" w:rsidRPr="005722ED" w:rsidRDefault="00CE5F77" w:rsidP="00CE5F77">
      <w:pPr>
        <w:jc w:val="center"/>
        <w:rPr>
          <w:noProof/>
        </w:rPr>
      </w:pPr>
    </w:p>
    <w:p w14:paraId="4595ABD7" w14:textId="01A72F7B" w:rsidR="00CE5F77" w:rsidRPr="005722ED" w:rsidRDefault="00AB2D78" w:rsidP="00CE5F77">
      <w:pPr>
        <w:jc w:val="center"/>
        <w:rPr>
          <w:b/>
          <w:noProof/>
          <w:sz w:val="32"/>
          <w:szCs w:val="32"/>
        </w:rPr>
      </w:pPr>
      <w:commentRangeStart w:id="1"/>
      <w:r w:rsidRPr="005722ED">
        <w:rPr>
          <w:b/>
          <w:noProof/>
          <w:sz w:val="32"/>
        </w:rPr>
        <w:t>POLÍTICA DE TRAGA SEU PRÓPRIO DISPOSITIVO (BYOD)</w:t>
      </w:r>
      <w:commentRangeEnd w:id="1"/>
      <w:r w:rsidR="005722ED" w:rsidRPr="005722ED">
        <w:rPr>
          <w:rStyle w:val="CommentReference"/>
        </w:rPr>
        <w:commentReference w:id="1"/>
      </w:r>
    </w:p>
    <w:p w14:paraId="3222DA2A" w14:textId="77777777" w:rsidR="005722ED" w:rsidRPr="005722ED" w:rsidRDefault="005722ED" w:rsidP="005722ED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5722ED" w:rsidRPr="005722ED" w14:paraId="22C98E96" w14:textId="77777777" w:rsidTr="00625819">
        <w:trPr>
          <w:jc w:val="center"/>
        </w:trPr>
        <w:tc>
          <w:tcPr>
            <w:tcW w:w="2718" w:type="dxa"/>
            <w:vAlign w:val="center"/>
          </w:tcPr>
          <w:p w14:paraId="7E184ACE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5722ED">
              <w:rPr>
                <w:rFonts w:eastAsia="Times New Roman"/>
              </w:rPr>
              <w:t>Código:</w:t>
            </w:r>
            <w:commentRangeEnd w:id="3"/>
            <w:r w:rsidRPr="005722ED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04FAC0F8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2AEEB6E6" w14:textId="77777777" w:rsidTr="00625819">
        <w:trPr>
          <w:jc w:val="center"/>
        </w:trPr>
        <w:tc>
          <w:tcPr>
            <w:tcW w:w="2718" w:type="dxa"/>
            <w:vAlign w:val="center"/>
          </w:tcPr>
          <w:p w14:paraId="296FD594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2615460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6E2DEC9C" w14:textId="77777777" w:rsidTr="00625819">
        <w:trPr>
          <w:jc w:val="center"/>
        </w:trPr>
        <w:tc>
          <w:tcPr>
            <w:tcW w:w="2718" w:type="dxa"/>
            <w:vAlign w:val="center"/>
          </w:tcPr>
          <w:p w14:paraId="22EB6F19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3D11C7E2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512D35F5" w14:textId="77777777" w:rsidTr="00625819">
        <w:trPr>
          <w:jc w:val="center"/>
        </w:trPr>
        <w:tc>
          <w:tcPr>
            <w:tcW w:w="2718" w:type="dxa"/>
            <w:vAlign w:val="center"/>
          </w:tcPr>
          <w:p w14:paraId="72DB0FC2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58F885AD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210EC3F5" w14:textId="77777777" w:rsidTr="00625819">
        <w:trPr>
          <w:jc w:val="center"/>
        </w:trPr>
        <w:tc>
          <w:tcPr>
            <w:tcW w:w="2718" w:type="dxa"/>
            <w:vAlign w:val="center"/>
          </w:tcPr>
          <w:p w14:paraId="4E7BD85C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02831E5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09D07E02" w14:textId="77777777" w:rsidTr="00625819">
        <w:trPr>
          <w:jc w:val="center"/>
        </w:trPr>
        <w:tc>
          <w:tcPr>
            <w:tcW w:w="2718" w:type="dxa"/>
            <w:vAlign w:val="center"/>
          </w:tcPr>
          <w:p w14:paraId="4E805676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2C81C788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E7EBEC9" w14:textId="77777777" w:rsidR="005722ED" w:rsidRPr="005722ED" w:rsidRDefault="005722ED" w:rsidP="005722ED">
      <w:pPr>
        <w:rPr>
          <w:rFonts w:eastAsia="Times New Roman"/>
        </w:rPr>
      </w:pPr>
    </w:p>
    <w:p w14:paraId="7F69F75D" w14:textId="77777777" w:rsidR="005722ED" w:rsidRPr="005722ED" w:rsidRDefault="005722ED" w:rsidP="005722ED">
      <w:pPr>
        <w:rPr>
          <w:rFonts w:eastAsia="Times New Roman"/>
        </w:rPr>
      </w:pPr>
    </w:p>
    <w:p w14:paraId="1F439C87" w14:textId="77777777" w:rsidR="005722ED" w:rsidRPr="005722ED" w:rsidRDefault="005722ED" w:rsidP="005722ED">
      <w:pPr>
        <w:rPr>
          <w:rFonts w:eastAsia="Times New Roman"/>
          <w:b/>
          <w:sz w:val="28"/>
          <w:szCs w:val="28"/>
        </w:rPr>
      </w:pPr>
      <w:r w:rsidRPr="005722ED">
        <w:rPr>
          <w:rFonts w:eastAsia="Times New Roman"/>
          <w:b/>
          <w:sz w:val="28"/>
        </w:rPr>
        <w:br w:type="page"/>
      </w:r>
      <w:r w:rsidRPr="005722ED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5722ED" w:rsidRPr="005722ED" w14:paraId="4A3F1EF4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7FD8B6B0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  <w:b/>
              </w:rPr>
            </w:pPr>
            <w:r w:rsidRPr="005722ED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37E5815D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  <w:b/>
              </w:rPr>
            </w:pPr>
            <w:r w:rsidRPr="005722ED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7AA09756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  <w:b/>
              </w:rPr>
            </w:pPr>
            <w:r w:rsidRPr="005722ED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7DDAB42D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  <w:b/>
              </w:rPr>
            </w:pPr>
            <w:r w:rsidRPr="005722ED">
              <w:rPr>
                <w:rFonts w:eastAsia="Times New Roman"/>
                <w:b/>
              </w:rPr>
              <w:t>Descrição da alteração</w:t>
            </w:r>
          </w:p>
        </w:tc>
      </w:tr>
      <w:tr w:rsidR="005722ED" w:rsidRPr="005722ED" w14:paraId="10059D30" w14:textId="77777777" w:rsidTr="00625819">
        <w:trPr>
          <w:jc w:val="center"/>
        </w:trPr>
        <w:tc>
          <w:tcPr>
            <w:tcW w:w="1384" w:type="dxa"/>
            <w:vAlign w:val="center"/>
          </w:tcPr>
          <w:p w14:paraId="7293532D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8EACBB4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029570AA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3A0FED0B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Esboço básico do documento</w:t>
            </w:r>
          </w:p>
        </w:tc>
      </w:tr>
      <w:tr w:rsidR="005722ED" w:rsidRPr="005722ED" w14:paraId="604909FA" w14:textId="77777777" w:rsidTr="00625819">
        <w:trPr>
          <w:jc w:val="center"/>
        </w:trPr>
        <w:tc>
          <w:tcPr>
            <w:tcW w:w="1384" w:type="dxa"/>
            <w:vAlign w:val="center"/>
          </w:tcPr>
          <w:p w14:paraId="426BEAEB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12000DA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3CD8FFA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0192910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20D1EBB7" w14:textId="77777777" w:rsidTr="00625819">
        <w:trPr>
          <w:jc w:val="center"/>
        </w:trPr>
        <w:tc>
          <w:tcPr>
            <w:tcW w:w="1384" w:type="dxa"/>
            <w:vAlign w:val="center"/>
          </w:tcPr>
          <w:p w14:paraId="6D109A61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0FF6B8F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1CE0B37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89114A5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06493548" w14:textId="77777777" w:rsidTr="00625819">
        <w:trPr>
          <w:jc w:val="center"/>
        </w:trPr>
        <w:tc>
          <w:tcPr>
            <w:tcW w:w="1384" w:type="dxa"/>
            <w:vAlign w:val="center"/>
          </w:tcPr>
          <w:p w14:paraId="304C82EE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247A7D3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1FE0872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96B922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27445BC8" w14:textId="77777777" w:rsidTr="00625819">
        <w:trPr>
          <w:jc w:val="center"/>
        </w:trPr>
        <w:tc>
          <w:tcPr>
            <w:tcW w:w="1384" w:type="dxa"/>
            <w:vAlign w:val="center"/>
          </w:tcPr>
          <w:p w14:paraId="418DBC29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57842CA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1A72DAE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5902E13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76A55517" w14:textId="77777777" w:rsidTr="00625819">
        <w:trPr>
          <w:jc w:val="center"/>
        </w:trPr>
        <w:tc>
          <w:tcPr>
            <w:tcW w:w="1384" w:type="dxa"/>
            <w:vAlign w:val="center"/>
          </w:tcPr>
          <w:p w14:paraId="0481C913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20B80F9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E5F843C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160B8FC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3E124BE0" w14:textId="77777777" w:rsidTr="00625819">
        <w:trPr>
          <w:jc w:val="center"/>
        </w:trPr>
        <w:tc>
          <w:tcPr>
            <w:tcW w:w="1384" w:type="dxa"/>
            <w:vAlign w:val="center"/>
          </w:tcPr>
          <w:p w14:paraId="3FBE4061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0B89359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3F96319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15B7E8A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EF59EC0" w14:textId="77777777" w:rsidR="005722ED" w:rsidRPr="005722ED" w:rsidRDefault="005722ED" w:rsidP="005722ED">
      <w:pPr>
        <w:rPr>
          <w:rFonts w:eastAsia="Times New Roman"/>
        </w:rPr>
      </w:pPr>
    </w:p>
    <w:p w14:paraId="0FD80571" w14:textId="77777777" w:rsidR="005722ED" w:rsidRPr="005722ED" w:rsidRDefault="005722ED" w:rsidP="005722ED">
      <w:pPr>
        <w:rPr>
          <w:rFonts w:eastAsia="Times New Roman"/>
        </w:rPr>
      </w:pPr>
    </w:p>
    <w:p w14:paraId="41E2924B" w14:textId="56454BCF" w:rsidR="00CE5F77" w:rsidRPr="005722ED" w:rsidRDefault="001203A5" w:rsidP="00CE5F77">
      <w:pPr>
        <w:rPr>
          <w:b/>
          <w:noProof/>
          <w:sz w:val="28"/>
          <w:szCs w:val="28"/>
        </w:rPr>
      </w:pPr>
      <w:r w:rsidRPr="005722ED">
        <w:rPr>
          <w:b/>
          <w:bCs/>
          <w:noProof/>
          <w:sz w:val="28"/>
        </w:rPr>
        <w:t>Sumário</w:t>
      </w:r>
    </w:p>
    <w:p w14:paraId="088553F7" w14:textId="1AD3AC21" w:rsidR="005722ED" w:rsidRPr="005722ED" w:rsidRDefault="00F7421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722ED">
        <w:rPr>
          <w:noProof/>
        </w:rPr>
        <w:fldChar w:fldCharType="begin"/>
      </w:r>
      <w:r w:rsidR="00BD79EB" w:rsidRPr="005722ED">
        <w:rPr>
          <w:noProof/>
        </w:rPr>
        <w:instrText xml:space="preserve"> TOC \o "1-3" \h \z \u </w:instrText>
      </w:r>
      <w:r w:rsidRPr="005722ED">
        <w:rPr>
          <w:noProof/>
        </w:rPr>
        <w:fldChar w:fldCharType="separate"/>
      </w:r>
      <w:hyperlink w:anchor="_Toc152747351" w:history="1">
        <w:r w:rsidR="005722ED" w:rsidRPr="005722ED">
          <w:rPr>
            <w:rStyle w:val="Hyperlink"/>
            <w:noProof/>
            <w:lang w:val="pt-BR"/>
          </w:rPr>
          <w:t>1.</w:t>
        </w:r>
        <w:r w:rsidR="005722ED" w:rsidRPr="005722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noProof/>
            <w:lang w:val="pt-BR"/>
          </w:rPr>
          <w:t>Finalidade, escopo e usuários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_Toc152747351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7DF2D3DD" w14:textId="0D44A67F" w:rsidR="005722ED" w:rsidRPr="005722ED" w:rsidRDefault="00120AD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352" w:history="1">
        <w:r w:rsidR="005722ED" w:rsidRPr="005722ED">
          <w:rPr>
            <w:rStyle w:val="Hyperlink"/>
            <w:noProof/>
            <w:lang w:val="pt-BR"/>
          </w:rPr>
          <w:t>2.</w:t>
        </w:r>
        <w:r w:rsidR="005722ED" w:rsidRPr="005722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noProof/>
            <w:lang w:val="pt-BR"/>
          </w:rPr>
          <w:t>Documentos de referência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_Toc152747352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67B6BAC5" w14:textId="26E1B457" w:rsidR="005722ED" w:rsidRPr="005722ED" w:rsidRDefault="00120AD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353" w:history="1">
        <w:r w:rsidR="005722ED" w:rsidRPr="005722ED">
          <w:rPr>
            <w:rStyle w:val="Hyperlink"/>
            <w:noProof/>
            <w:lang w:val="pt-BR"/>
          </w:rPr>
          <w:t>3.</w:t>
        </w:r>
        <w:r w:rsidR="005722ED" w:rsidRPr="005722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noProof/>
            <w:lang w:val="pt-BR"/>
          </w:rPr>
          <w:t>Regras de segurança para uso de BYOD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_Toc152747353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68281093" w14:textId="0F5A4335" w:rsidR="005722ED" w:rsidRPr="005722ED" w:rsidRDefault="00120A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4" w:history="1">
        <w:r w:rsidR="005722ED" w:rsidRPr="005722ED">
          <w:rPr>
            <w:rStyle w:val="Hyperlink"/>
            <w:noProof/>
            <w:lang w:val="pt-BR"/>
          </w:rPr>
          <w:t>3.1.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Política da empresa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_Toc152747354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6410BEA7" w14:textId="4353248C" w:rsidR="005722ED" w:rsidRPr="005722ED" w:rsidRDefault="00120A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5" w:history="1">
        <w:r w:rsidR="005722ED" w:rsidRPr="005722ED">
          <w:rPr>
            <w:rStyle w:val="Hyperlink"/>
            <w:noProof/>
            <w:lang w:val="pt-BR"/>
          </w:rPr>
          <w:t>3.2.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Quem tem permissão de usar o BYOD e para quais fins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_Toc152747355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716EF20B" w14:textId="7ECCFF92" w:rsidR="005722ED" w:rsidRPr="005722ED" w:rsidRDefault="00120A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6" w:history="1">
        <w:r w:rsidR="005722ED" w:rsidRPr="005722ED">
          <w:rPr>
            <w:rStyle w:val="Hyperlink"/>
            <w:noProof/>
            <w:lang w:val="pt-BR"/>
          </w:rPr>
          <w:t>3.3.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Quais dispositivos são permitidos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_Toc152747356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484886FB" w14:textId="53BC5F22" w:rsidR="005722ED" w:rsidRPr="005722ED" w:rsidRDefault="00120A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7" w:history="1">
        <w:r w:rsidR="005722ED" w:rsidRPr="005722ED">
          <w:rPr>
            <w:rStyle w:val="Hyperlink"/>
            <w:noProof/>
            <w:lang w:val="pt-BR"/>
          </w:rPr>
          <w:t>3.4.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Uso aceitável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_Toc152747357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216F361C" w14:textId="7A0B8EF4" w:rsidR="005722ED" w:rsidRPr="005722ED" w:rsidRDefault="00120A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8" w:history="1">
        <w:r w:rsidR="005722ED" w:rsidRPr="005722ED">
          <w:rPr>
            <w:rStyle w:val="Hyperlink"/>
            <w:noProof/>
            <w:lang w:val="pt-BR"/>
          </w:rPr>
          <w:t>3.5.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Direitos especiais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_Toc152747358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4</w:t>
        </w:r>
        <w:r w:rsidR="005722ED" w:rsidRPr="005722ED">
          <w:rPr>
            <w:noProof/>
            <w:webHidden/>
          </w:rPr>
          <w:fldChar w:fldCharType="end"/>
        </w:r>
      </w:hyperlink>
    </w:p>
    <w:p w14:paraId="427B8B5E" w14:textId="7E35F7B3" w:rsidR="005722ED" w:rsidRPr="005722ED" w:rsidRDefault="00120A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9" w:history="1">
        <w:r w:rsidR="005722ED" w:rsidRPr="005722ED">
          <w:rPr>
            <w:rStyle w:val="Hyperlink"/>
            <w:noProof/>
            <w:lang w:val="pt-BR"/>
          </w:rPr>
          <w:t>3.6.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Reembolso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_Toc152747359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4</w:t>
        </w:r>
        <w:r w:rsidR="005722ED" w:rsidRPr="005722ED">
          <w:rPr>
            <w:noProof/>
            <w:webHidden/>
          </w:rPr>
          <w:fldChar w:fldCharType="end"/>
        </w:r>
      </w:hyperlink>
    </w:p>
    <w:p w14:paraId="189E5BA9" w14:textId="2FC0EBF0" w:rsidR="005722ED" w:rsidRPr="005722ED" w:rsidRDefault="00120A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60" w:history="1">
        <w:r w:rsidR="005722ED" w:rsidRPr="005722ED">
          <w:rPr>
            <w:rStyle w:val="Hyperlink"/>
            <w:noProof/>
            <w:lang w:val="pt-BR"/>
          </w:rPr>
          <w:t>3.7.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Violações de segurança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_Toc152747360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5</w:t>
        </w:r>
        <w:r w:rsidR="005722ED" w:rsidRPr="005722ED">
          <w:rPr>
            <w:noProof/>
            <w:webHidden/>
          </w:rPr>
          <w:fldChar w:fldCharType="end"/>
        </w:r>
      </w:hyperlink>
    </w:p>
    <w:p w14:paraId="0E2F12F4" w14:textId="6F280823" w:rsidR="005722ED" w:rsidRPr="005722ED" w:rsidRDefault="00120A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61" w:history="1">
        <w:r w:rsidR="005722ED" w:rsidRPr="005722ED">
          <w:rPr>
            <w:rStyle w:val="Hyperlink"/>
            <w:noProof/>
            <w:lang w:val="pt-BR"/>
          </w:rPr>
          <w:t>3.8.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Treinamento e conscientização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_Toc152747361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5</w:t>
        </w:r>
        <w:r w:rsidR="005722ED" w:rsidRPr="005722ED">
          <w:rPr>
            <w:noProof/>
            <w:webHidden/>
          </w:rPr>
          <w:fldChar w:fldCharType="end"/>
        </w:r>
      </w:hyperlink>
    </w:p>
    <w:p w14:paraId="3EF6C2BA" w14:textId="0DCBF5FB" w:rsidR="005722ED" w:rsidRPr="005722ED" w:rsidRDefault="00120AD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362" w:history="1">
        <w:r w:rsidR="005722ED" w:rsidRPr="005722ED">
          <w:rPr>
            <w:rStyle w:val="Hyperlink"/>
            <w:noProof/>
            <w:lang w:val="pt-BR"/>
          </w:rPr>
          <w:t>4.</w:t>
        </w:r>
        <w:r w:rsidR="005722ED" w:rsidRPr="005722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noProof/>
            <w:lang w:val="pt-BR"/>
          </w:rPr>
          <w:t>Gestão de registros mantidos de acordo com este documento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_Toc152747362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5</w:t>
        </w:r>
        <w:r w:rsidR="005722ED" w:rsidRPr="005722ED">
          <w:rPr>
            <w:noProof/>
            <w:webHidden/>
          </w:rPr>
          <w:fldChar w:fldCharType="end"/>
        </w:r>
      </w:hyperlink>
    </w:p>
    <w:p w14:paraId="1B993A3B" w14:textId="20EFF033" w:rsidR="005722ED" w:rsidRPr="005722ED" w:rsidRDefault="00120AD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363" w:history="1">
        <w:r w:rsidR="005722ED" w:rsidRPr="005722ED">
          <w:rPr>
            <w:rStyle w:val="Hyperlink"/>
            <w:noProof/>
            <w:lang w:val="pt-BR"/>
          </w:rPr>
          <w:t>5.</w:t>
        </w:r>
        <w:r w:rsidR="005722ED" w:rsidRPr="005722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noProof/>
            <w:lang w:val="pt-BR"/>
          </w:rPr>
          <w:t>Validade e gestão de documentos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_Toc152747363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6</w:t>
        </w:r>
        <w:r w:rsidR="005722ED" w:rsidRPr="005722ED">
          <w:rPr>
            <w:noProof/>
            <w:webHidden/>
          </w:rPr>
          <w:fldChar w:fldCharType="end"/>
        </w:r>
      </w:hyperlink>
    </w:p>
    <w:p w14:paraId="3649607C" w14:textId="2C385799" w:rsidR="00A02404" w:rsidRPr="005722ED" w:rsidRDefault="00F74218">
      <w:pPr>
        <w:rPr>
          <w:noProof/>
        </w:rPr>
      </w:pPr>
      <w:r w:rsidRPr="005722ED">
        <w:rPr>
          <w:noProof/>
        </w:rPr>
        <w:fldChar w:fldCharType="end"/>
      </w:r>
    </w:p>
    <w:p w14:paraId="21C4F5FD" w14:textId="1638D804" w:rsidR="00CE5F77" w:rsidRPr="005722ED" w:rsidRDefault="00CE5F77" w:rsidP="00860031">
      <w:pPr>
        <w:pStyle w:val="Heading1"/>
        <w:rPr>
          <w:noProof/>
        </w:rPr>
      </w:pPr>
      <w:r w:rsidRPr="005722ED">
        <w:rPr>
          <w:noProof/>
        </w:rPr>
        <w:br w:type="page"/>
      </w:r>
      <w:bookmarkStart w:id="4" w:name="_Toc152747351"/>
      <w:r w:rsidR="00860031" w:rsidRPr="005722ED">
        <w:rPr>
          <w:bCs/>
          <w:noProof/>
        </w:rPr>
        <w:lastRenderedPageBreak/>
        <w:t>Finalidade, escopo e usuários</w:t>
      </w:r>
      <w:bookmarkEnd w:id="4"/>
    </w:p>
    <w:p w14:paraId="0A5BE2F8" w14:textId="5A30003B" w:rsidR="00551DBD" w:rsidRPr="005722ED" w:rsidRDefault="00860031" w:rsidP="00860031">
      <w:pPr>
        <w:rPr>
          <w:noProof/>
        </w:rPr>
      </w:pPr>
      <w:r w:rsidRPr="005722ED">
        <w:rPr>
          <w:noProof/>
        </w:rPr>
        <w:t>A finalidade deste documento</w:t>
      </w:r>
      <w:r w:rsidR="00551DBD" w:rsidRPr="005722ED">
        <w:rPr>
          <w:noProof/>
        </w:rPr>
        <w:t xml:space="preserve"> é definir como a </w:t>
      </w:r>
      <w:commentRangeStart w:id="5"/>
      <w:r w:rsidR="00A55D97" w:rsidRPr="005722ED">
        <w:rPr>
          <w:noProof/>
        </w:rPr>
        <w:t>[nome da organização]</w:t>
      </w:r>
      <w:commentRangeEnd w:id="5"/>
      <w:r w:rsidR="001203A5" w:rsidRPr="005722ED">
        <w:rPr>
          <w:rStyle w:val="CommentReference"/>
        </w:rPr>
        <w:commentReference w:id="5"/>
      </w:r>
      <w:r w:rsidR="00551DBD" w:rsidRPr="005722ED">
        <w:rPr>
          <w:noProof/>
        </w:rPr>
        <w:t xml:space="preserve"> irá reter o controle sobre suas informações, quando estas informações estiverem sendo acessadas através de dispositivos que não são de propriedade da </w:t>
      </w:r>
      <w:r w:rsidR="001203A5" w:rsidRPr="005722ED">
        <w:rPr>
          <w:noProof/>
        </w:rPr>
        <w:t>organização</w:t>
      </w:r>
      <w:r w:rsidR="00551DBD" w:rsidRPr="005722ED">
        <w:rPr>
          <w:noProof/>
        </w:rPr>
        <w:t>.</w:t>
      </w:r>
    </w:p>
    <w:p w14:paraId="29F2F1BA" w14:textId="77777777" w:rsidR="00CE5F77" w:rsidRPr="005722ED" w:rsidRDefault="00995555" w:rsidP="00CE5F77">
      <w:pPr>
        <w:rPr>
          <w:noProof/>
        </w:rPr>
      </w:pPr>
      <w:r w:rsidRPr="005722ED">
        <w:rPr>
          <w:noProof/>
        </w:rPr>
        <w:t>Este documento se aplica a todos os dispositivos de propriedade pessoas que têm a habilidade para armazenar, transferir ou processar quaisquer informações sensíveis no escopo do Sistema de Gestão de Informação (SGSI).</w:t>
      </w:r>
      <w:r w:rsidR="00CE5F77" w:rsidRPr="005722ED">
        <w:rPr>
          <w:noProof/>
        </w:rPr>
        <w:t xml:space="preserve"> Estes dispositivos incluem laptops, smartphone, tablets, pendrives, câmeras digitais, etc. Tais dispositivos serão referidos como BYOD nesta Política.</w:t>
      </w:r>
    </w:p>
    <w:p w14:paraId="0E71231D" w14:textId="36D552D2" w:rsidR="00CE5F77" w:rsidRPr="005722ED" w:rsidRDefault="00CE5F77" w:rsidP="00CE5F77">
      <w:pPr>
        <w:rPr>
          <w:noProof/>
        </w:rPr>
      </w:pPr>
      <w:r w:rsidRPr="005722ED">
        <w:rPr>
          <w:noProof/>
        </w:rPr>
        <w:t xml:space="preserve">Os usuários deste documento são todos os funcionários da </w:t>
      </w:r>
      <w:commentRangeStart w:id="6"/>
      <w:r w:rsidR="00421341" w:rsidRPr="005722ED">
        <w:rPr>
          <w:noProof/>
        </w:rPr>
        <w:t>[nome da organização]</w:t>
      </w:r>
      <w:commentRangeEnd w:id="6"/>
      <w:r w:rsidR="001203A5" w:rsidRPr="005722ED">
        <w:rPr>
          <w:rStyle w:val="CommentReference"/>
        </w:rPr>
        <w:commentReference w:id="6"/>
      </w:r>
      <w:r w:rsidRPr="005722ED">
        <w:rPr>
          <w:noProof/>
        </w:rPr>
        <w:t>.</w:t>
      </w:r>
    </w:p>
    <w:p w14:paraId="2E8AFFEA" w14:textId="77777777" w:rsidR="00CE5F77" w:rsidRPr="005722ED" w:rsidRDefault="00CE5F77" w:rsidP="00CE5F77">
      <w:pPr>
        <w:rPr>
          <w:noProof/>
        </w:rPr>
      </w:pPr>
    </w:p>
    <w:p w14:paraId="6D6A004E" w14:textId="77777777" w:rsidR="00CE5F77" w:rsidRPr="005722ED" w:rsidRDefault="00CE5F77" w:rsidP="00CE5F77">
      <w:pPr>
        <w:pStyle w:val="Heading1"/>
        <w:rPr>
          <w:noProof/>
        </w:rPr>
      </w:pPr>
      <w:bookmarkStart w:id="7" w:name="_Toc265755050"/>
      <w:bookmarkStart w:id="8" w:name="_Toc152747352"/>
      <w:r w:rsidRPr="005722ED">
        <w:rPr>
          <w:bCs/>
          <w:noProof/>
        </w:rPr>
        <w:t>Documentos de referência</w:t>
      </w:r>
      <w:bookmarkEnd w:id="7"/>
      <w:bookmarkEnd w:id="8"/>
    </w:p>
    <w:p w14:paraId="3938482A" w14:textId="218AB04E" w:rsidR="00CE5F77" w:rsidRPr="005722ED" w:rsidRDefault="00CE5F77" w:rsidP="00551DBD">
      <w:pPr>
        <w:numPr>
          <w:ilvl w:val="0"/>
          <w:numId w:val="4"/>
        </w:numPr>
        <w:spacing w:after="0"/>
        <w:rPr>
          <w:noProof/>
        </w:rPr>
      </w:pPr>
      <w:r w:rsidRPr="005722ED">
        <w:rPr>
          <w:noProof/>
        </w:rPr>
        <w:t xml:space="preserve">Norma ISO/IEC 27001, cláusulas </w:t>
      </w:r>
      <w:r w:rsidR="00F232A1" w:rsidRPr="005722ED">
        <w:rPr>
          <w:noProof/>
        </w:rPr>
        <w:t>A.5.14, A.</w:t>
      </w:r>
      <w:r w:rsidR="001E3746" w:rsidRPr="005722ED">
        <w:rPr>
          <w:noProof/>
        </w:rPr>
        <w:t>6.7 e A.8.1</w:t>
      </w:r>
    </w:p>
    <w:p w14:paraId="5E716495" w14:textId="77777777" w:rsidR="00CE5F77" w:rsidRPr="005722ED" w:rsidRDefault="00CE5F77" w:rsidP="00CE5F77">
      <w:pPr>
        <w:rPr>
          <w:noProof/>
        </w:rPr>
      </w:pPr>
    </w:p>
    <w:p w14:paraId="6237294D" w14:textId="77777777" w:rsidR="00CE5F77" w:rsidRPr="005722ED" w:rsidRDefault="00551DBD" w:rsidP="00CE5F77">
      <w:pPr>
        <w:pStyle w:val="Heading1"/>
        <w:rPr>
          <w:noProof/>
        </w:rPr>
      </w:pPr>
      <w:bookmarkStart w:id="9" w:name="_Toc152747353"/>
      <w:r w:rsidRPr="005722ED">
        <w:rPr>
          <w:bCs/>
          <w:noProof/>
        </w:rPr>
        <w:t>Regras de segurança para uso de BYOD</w:t>
      </w:r>
      <w:bookmarkEnd w:id="9"/>
    </w:p>
    <w:p w14:paraId="50DA18F5" w14:textId="14D6EE52" w:rsidR="000F6C48" w:rsidRPr="005722ED" w:rsidRDefault="00995555" w:rsidP="00551DBD">
      <w:pPr>
        <w:rPr>
          <w:noProof/>
        </w:rPr>
      </w:pPr>
      <w:r w:rsidRPr="005722ED">
        <w:rPr>
          <w:noProof/>
        </w:rPr>
        <w:t xml:space="preserve">As regras desta </w:t>
      </w:r>
      <w:r w:rsidR="001203A5" w:rsidRPr="005722ED">
        <w:rPr>
          <w:noProof/>
        </w:rPr>
        <w:t>P</w:t>
      </w:r>
      <w:r w:rsidRPr="005722ED">
        <w:rPr>
          <w:noProof/>
        </w:rPr>
        <w:t xml:space="preserve">olítica se aplicam a todos os BYODs, sejam eles usados para trabalho ou para uso privado, ou se são usados dentro ou fora das instalações da </w:t>
      </w:r>
      <w:r w:rsidR="001203A5" w:rsidRPr="005722ED">
        <w:rPr>
          <w:noProof/>
        </w:rPr>
        <w:t>organização</w:t>
      </w:r>
      <w:r w:rsidRPr="005722ED">
        <w:rPr>
          <w:noProof/>
        </w:rPr>
        <w:t>.</w:t>
      </w:r>
    </w:p>
    <w:p w14:paraId="0B41910C" w14:textId="77777777" w:rsidR="000F6C48" w:rsidRPr="005722ED" w:rsidRDefault="000F6C48" w:rsidP="000F6C48">
      <w:pPr>
        <w:pStyle w:val="Heading2"/>
        <w:rPr>
          <w:noProof/>
        </w:rPr>
      </w:pPr>
      <w:bookmarkStart w:id="10" w:name="_Toc152747354"/>
      <w:r w:rsidRPr="005722ED">
        <w:rPr>
          <w:bCs/>
          <w:noProof/>
        </w:rPr>
        <w:t>Política da empresa</w:t>
      </w:r>
      <w:bookmarkEnd w:id="10"/>
    </w:p>
    <w:p w14:paraId="2223A0CC" w14:textId="44EF15E1" w:rsidR="000F6C48" w:rsidRPr="005722ED" w:rsidRDefault="000F6C48" w:rsidP="001203A5">
      <w:pPr>
        <w:rPr>
          <w:noProof/>
        </w:rPr>
      </w:pPr>
      <w:r w:rsidRPr="005722ED">
        <w:rPr>
          <w:noProof/>
        </w:rPr>
        <w:t xml:space="preserve">A </w:t>
      </w:r>
      <w:commentRangeStart w:id="11"/>
      <w:r w:rsidR="0088764B" w:rsidRPr="005722ED">
        <w:rPr>
          <w:noProof/>
        </w:rPr>
        <w:t>[nome da organização]</w:t>
      </w:r>
      <w:commentRangeEnd w:id="11"/>
      <w:r w:rsidR="001203A5" w:rsidRPr="005722ED">
        <w:rPr>
          <w:rStyle w:val="CommentReference"/>
        </w:rPr>
        <w:commentReference w:id="11"/>
      </w:r>
      <w:r w:rsidRPr="005722ED">
        <w:rPr>
          <w:noProof/>
        </w:rPr>
        <w:t xml:space="preserve"> </w:t>
      </w:r>
      <w:commentRangeStart w:id="12"/>
      <w:r w:rsidRPr="005722ED">
        <w:rPr>
          <w:noProof/>
        </w:rPr>
        <w:t>suporta o uso disseminado de BYOD para uso no trabalho – ou seja, uso destes dispositivos para executar o trabalho para a empresa.</w:t>
      </w:r>
      <w:commentRangeEnd w:id="12"/>
      <w:r w:rsidR="005722ED" w:rsidRPr="005722ED">
        <w:rPr>
          <w:rStyle w:val="CommentReference"/>
        </w:rPr>
        <w:commentReference w:id="12"/>
      </w:r>
    </w:p>
    <w:p w14:paraId="69ADCA88" w14:textId="312BA047" w:rsidR="008B3147" w:rsidRPr="005722ED" w:rsidRDefault="002B791C" w:rsidP="00551DBD">
      <w:pPr>
        <w:rPr>
          <w:noProof/>
        </w:rPr>
      </w:pPr>
      <w:r w:rsidRPr="005722ED">
        <w:rPr>
          <w:noProof/>
        </w:rPr>
        <w:t xml:space="preserve">Os dados da empresa </w:t>
      </w:r>
      <w:r w:rsidR="001E3D6C" w:rsidRPr="005722ED">
        <w:rPr>
          <w:noProof/>
        </w:rPr>
        <w:t xml:space="preserve">e propriedade intelectual </w:t>
      </w:r>
      <w:r w:rsidRPr="005722ED">
        <w:rPr>
          <w:noProof/>
        </w:rPr>
        <w:t xml:space="preserve">que são armazenados, transferidos ou processados no BYOD permanecem sob a propriedade da empresa e esta retém o direito de controlar tais dados </w:t>
      </w:r>
      <w:r w:rsidR="001E3D6C" w:rsidRPr="005722ED">
        <w:rPr>
          <w:noProof/>
        </w:rPr>
        <w:t>e/ou propriedade intelect</w:t>
      </w:r>
      <w:r w:rsidR="00814B4E" w:rsidRPr="005722ED">
        <w:rPr>
          <w:noProof/>
        </w:rPr>
        <w:t xml:space="preserve">ual </w:t>
      </w:r>
      <w:r w:rsidRPr="005722ED">
        <w:rPr>
          <w:noProof/>
        </w:rPr>
        <w:t>mesmo não sendo a proprietária do dispositivo.</w:t>
      </w:r>
    </w:p>
    <w:p w14:paraId="6C85BBE1" w14:textId="77777777" w:rsidR="00F81302" w:rsidRPr="005722ED" w:rsidRDefault="00F81302" w:rsidP="00F81302">
      <w:pPr>
        <w:pStyle w:val="Heading2"/>
        <w:rPr>
          <w:noProof/>
        </w:rPr>
      </w:pPr>
      <w:bookmarkStart w:id="13" w:name="_Toc152747355"/>
      <w:r w:rsidRPr="005722ED">
        <w:rPr>
          <w:bCs/>
          <w:noProof/>
        </w:rPr>
        <w:t>Quem tem permissão de usar o BYOD e para quais fins</w:t>
      </w:r>
      <w:bookmarkEnd w:id="13"/>
    </w:p>
    <w:p w14:paraId="7644DE09" w14:textId="489A4E0F" w:rsidR="00F81302" w:rsidRPr="005722ED" w:rsidRDefault="00F81302" w:rsidP="00551DBD">
      <w:pPr>
        <w:rPr>
          <w:noProof/>
        </w:rPr>
      </w:pPr>
      <w:r w:rsidRPr="005722ED">
        <w:rPr>
          <w:noProof/>
        </w:rPr>
        <w:t>O [cargo] irá criar uma lista de cargos e/ou pessoas que têm a permissão de usar o BYOD, junto com os aplicativos e bancos de dados aos quais eles têm permissão de acesso em seus próprios dispositivos.</w:t>
      </w:r>
    </w:p>
    <w:p w14:paraId="48026F1A" w14:textId="605A28AE" w:rsidR="00CE5F77" w:rsidRDefault="00132307" w:rsidP="009D43DF">
      <w:pPr>
        <w:rPr>
          <w:noProof/>
        </w:rPr>
      </w:pPr>
      <w:r w:rsidRPr="005722ED">
        <w:rPr>
          <w:noProof/>
        </w:rPr>
        <w:t xml:space="preserve">O [cargo] irá criar uma </w:t>
      </w:r>
      <w:r w:rsidR="00530557" w:rsidRPr="005722ED">
        <w:rPr>
          <w:noProof/>
        </w:rPr>
        <w:t>L</w:t>
      </w:r>
      <w:r w:rsidRPr="005722ED">
        <w:rPr>
          <w:noProof/>
        </w:rPr>
        <w:t>ista de aplicativos proibidos no BYOD.</w:t>
      </w:r>
    </w:p>
    <w:p w14:paraId="7DD78049" w14:textId="2342AB45" w:rsidR="009D43DF" w:rsidRDefault="009D43DF" w:rsidP="009D43DF">
      <w:pPr>
        <w:rPr>
          <w:noProof/>
        </w:rPr>
      </w:pPr>
      <w:r>
        <w:rPr>
          <w:noProof/>
        </w:rPr>
        <w:t>...</w:t>
      </w:r>
    </w:p>
    <w:p w14:paraId="30DB0AD2" w14:textId="77777777" w:rsidR="009D43DF" w:rsidRDefault="009D43DF" w:rsidP="009D43DF">
      <w:pPr>
        <w:jc w:val="center"/>
      </w:pPr>
      <w:r>
        <w:t>** FIM DA DEMONSTRAÇÃO **</w:t>
      </w:r>
    </w:p>
    <w:p w14:paraId="5E3AEF7B" w14:textId="77777777" w:rsidR="009D43DF" w:rsidRDefault="009D43DF" w:rsidP="009D43DF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9D43DF" w:rsidRPr="00336B59" w14:paraId="783935B4" w14:textId="77777777" w:rsidTr="00B26389">
        <w:tc>
          <w:tcPr>
            <w:tcW w:w="3150" w:type="dxa"/>
            <w:vAlign w:val="center"/>
          </w:tcPr>
          <w:p w14:paraId="4689B49B" w14:textId="77777777" w:rsidR="009D43DF" w:rsidRPr="00336B59" w:rsidRDefault="009D43DF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BE266EA" w14:textId="77777777" w:rsidR="009D43DF" w:rsidRPr="00336B59" w:rsidRDefault="009D43DF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2792F939" w14:textId="77777777" w:rsidR="009D43DF" w:rsidRPr="00336B59" w:rsidRDefault="009D43DF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C6FCDDB" w14:textId="77777777" w:rsidR="009D43DF" w:rsidRPr="00336B59" w:rsidRDefault="009D43DF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9D43DF" w:rsidRPr="00336B59" w14:paraId="1BE43F07" w14:textId="77777777" w:rsidTr="00B26389">
        <w:tc>
          <w:tcPr>
            <w:tcW w:w="3150" w:type="dxa"/>
            <w:vAlign w:val="center"/>
          </w:tcPr>
          <w:p w14:paraId="45CE30DA" w14:textId="77777777" w:rsidR="009D43DF" w:rsidRPr="00336B59" w:rsidRDefault="009D43DF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1234FBC8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15ABE04E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DC8D019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9D43DF" w:rsidRPr="00336B59" w14:paraId="7523EFA0" w14:textId="77777777" w:rsidTr="00B26389">
        <w:tc>
          <w:tcPr>
            <w:tcW w:w="3150" w:type="dxa"/>
            <w:shd w:val="clear" w:color="auto" w:fill="F2F2F2"/>
            <w:vAlign w:val="center"/>
          </w:tcPr>
          <w:p w14:paraId="1E52B168" w14:textId="77777777" w:rsidR="009D43DF" w:rsidRPr="00336B59" w:rsidRDefault="009D43DF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6CAFA8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9BA7CF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F8179A2" w14:textId="77777777" w:rsidR="009D43DF" w:rsidRPr="00336B59" w:rsidRDefault="009D43DF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D43DF" w:rsidRPr="00336B59" w14:paraId="48F24BD8" w14:textId="77777777" w:rsidTr="00B26389">
        <w:tc>
          <w:tcPr>
            <w:tcW w:w="3150" w:type="dxa"/>
            <w:vAlign w:val="center"/>
          </w:tcPr>
          <w:p w14:paraId="7EACBAAB" w14:textId="77777777" w:rsidR="009D43DF" w:rsidRPr="00336B59" w:rsidRDefault="009D43DF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382218A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24D88DE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3888F68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D43DF" w:rsidRPr="00336B59" w14:paraId="53D092B8" w14:textId="77777777" w:rsidTr="00B26389">
        <w:tc>
          <w:tcPr>
            <w:tcW w:w="3150" w:type="dxa"/>
            <w:shd w:val="clear" w:color="auto" w:fill="F2F2F2"/>
            <w:vAlign w:val="center"/>
          </w:tcPr>
          <w:p w14:paraId="125466C0" w14:textId="77777777" w:rsidR="009D43DF" w:rsidRPr="00336B59" w:rsidRDefault="009D43DF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F69FF4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632310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0450B55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D43DF" w:rsidRPr="00336B59" w14:paraId="4E7F3C2A" w14:textId="77777777" w:rsidTr="00B26389">
        <w:tc>
          <w:tcPr>
            <w:tcW w:w="3150" w:type="dxa"/>
            <w:vAlign w:val="center"/>
          </w:tcPr>
          <w:p w14:paraId="03998AB1" w14:textId="77777777" w:rsidR="009D43DF" w:rsidRPr="00336B59" w:rsidRDefault="009D43DF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46A66B8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0F36015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3B9EB28" w14:textId="77777777" w:rsidR="009D43DF" w:rsidRPr="00336B59" w:rsidRDefault="009D43D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D43DF" w:rsidRPr="00336B59" w14:paraId="54612E43" w14:textId="77777777" w:rsidTr="00B26389">
        <w:tc>
          <w:tcPr>
            <w:tcW w:w="3150" w:type="dxa"/>
            <w:shd w:val="clear" w:color="auto" w:fill="F2F2F2"/>
            <w:vAlign w:val="center"/>
          </w:tcPr>
          <w:p w14:paraId="023400E9" w14:textId="77777777" w:rsidR="009D43DF" w:rsidRPr="00336B59" w:rsidRDefault="009D43DF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013A278" w14:textId="77777777" w:rsidR="009D43DF" w:rsidRPr="00336B59" w:rsidRDefault="009D43DF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C4C9570" w14:textId="77777777" w:rsidR="009D43DF" w:rsidRPr="00336B59" w:rsidRDefault="009D43DF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10DAAE1" w14:textId="77777777" w:rsidR="009D43DF" w:rsidRPr="00336B59" w:rsidRDefault="009D43DF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9D43DF" w:rsidRPr="00336B59" w14:paraId="0080DDB1" w14:textId="77777777" w:rsidTr="00B26389">
        <w:tc>
          <w:tcPr>
            <w:tcW w:w="3150" w:type="dxa"/>
            <w:vAlign w:val="center"/>
          </w:tcPr>
          <w:p w14:paraId="2F38A6D8" w14:textId="77777777" w:rsidR="009D43DF" w:rsidRPr="00336B59" w:rsidRDefault="009D43DF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2B657287" w14:textId="77777777" w:rsidR="009D43DF" w:rsidRPr="00336B59" w:rsidRDefault="009D43DF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DE77883" w14:textId="77777777" w:rsidR="009D43DF" w:rsidRPr="00336B59" w:rsidRDefault="009D43DF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640720C4" w14:textId="77777777" w:rsidR="009D43DF" w:rsidRPr="00336B59" w:rsidRDefault="009D43DF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9D43DF" w:rsidRPr="00336B59" w14:paraId="11E94972" w14:textId="77777777" w:rsidTr="00B26389">
        <w:tc>
          <w:tcPr>
            <w:tcW w:w="3150" w:type="dxa"/>
            <w:shd w:val="clear" w:color="auto" w:fill="F2F2F2"/>
            <w:vAlign w:val="center"/>
          </w:tcPr>
          <w:p w14:paraId="6AC584A6" w14:textId="77777777" w:rsidR="009D43DF" w:rsidRPr="00336B59" w:rsidRDefault="009D43DF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7EBABC" w14:textId="77777777" w:rsidR="009D43DF" w:rsidRPr="00336B59" w:rsidRDefault="009D43DF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CE8900" w14:textId="77777777" w:rsidR="009D43DF" w:rsidRPr="00336B59" w:rsidRDefault="009D43DF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C6AA283" w14:textId="77777777" w:rsidR="009D43DF" w:rsidRPr="00336B59" w:rsidRDefault="009D43DF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9D43DF" w:rsidRPr="00336B59" w14:paraId="0BF702E3" w14:textId="77777777" w:rsidTr="00B26389">
        <w:tc>
          <w:tcPr>
            <w:tcW w:w="3150" w:type="dxa"/>
            <w:vAlign w:val="center"/>
          </w:tcPr>
          <w:p w14:paraId="3DB34353" w14:textId="77777777" w:rsidR="009D43DF" w:rsidRPr="00336B59" w:rsidRDefault="009D43DF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212AA7BD" w14:textId="77777777" w:rsidR="009D43DF" w:rsidRPr="00336B59" w:rsidRDefault="009D43DF" w:rsidP="00B26389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C71B64D" w14:textId="77777777" w:rsidR="009D43DF" w:rsidRPr="00336B59" w:rsidRDefault="009D43DF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316BB477" w14:textId="77777777" w:rsidR="009D43DF" w:rsidRPr="00336B59" w:rsidRDefault="009D43DF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9D43DF" w:rsidRPr="00336B59" w14:paraId="550D60E0" w14:textId="77777777" w:rsidTr="00B26389">
        <w:tc>
          <w:tcPr>
            <w:tcW w:w="3150" w:type="dxa"/>
            <w:shd w:val="clear" w:color="auto" w:fill="F2F2F2"/>
            <w:vAlign w:val="center"/>
          </w:tcPr>
          <w:p w14:paraId="1E368726" w14:textId="77777777" w:rsidR="009D43DF" w:rsidRPr="00336B59" w:rsidRDefault="009D43DF" w:rsidP="00B26389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CEB77A0" w14:textId="77777777" w:rsidR="009D43DF" w:rsidRPr="00336B59" w:rsidRDefault="009D43DF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058FF27" w14:textId="77777777" w:rsidR="009D43DF" w:rsidRPr="00336B59" w:rsidRDefault="009D43DF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14166B0" w14:textId="77777777" w:rsidR="009D43DF" w:rsidRPr="00336B59" w:rsidRDefault="009D43DF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D43DF" w:rsidRPr="00336B59" w14:paraId="697119E4" w14:textId="77777777" w:rsidTr="00B26389">
        <w:tc>
          <w:tcPr>
            <w:tcW w:w="3150" w:type="dxa"/>
            <w:vAlign w:val="center"/>
          </w:tcPr>
          <w:p w14:paraId="7D4A63A3" w14:textId="77777777" w:rsidR="009D43DF" w:rsidRPr="00336B59" w:rsidRDefault="009D43DF" w:rsidP="00B26389">
            <w:pPr>
              <w:pStyle w:val="NoSpacing"/>
              <w:jc w:val="center"/>
            </w:pPr>
            <w:bookmarkStart w:id="14" w:name="_Hlk152934941"/>
          </w:p>
        </w:tc>
        <w:tc>
          <w:tcPr>
            <w:tcW w:w="1933" w:type="dxa"/>
            <w:vAlign w:val="center"/>
          </w:tcPr>
          <w:p w14:paraId="29DD647E" w14:textId="77777777" w:rsidR="009D43DF" w:rsidRPr="00336B59" w:rsidRDefault="009D43DF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D650E6A" w14:textId="77777777" w:rsidR="009D43DF" w:rsidRPr="00336B59" w:rsidRDefault="009D43DF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8E6CDC7" w14:textId="77777777" w:rsidR="009D43DF" w:rsidRPr="00336B59" w:rsidRDefault="009D43DF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4"/>
      <w:tr w:rsidR="009D43DF" w:rsidRPr="00336B59" w14:paraId="0EB486DA" w14:textId="77777777" w:rsidTr="00B26389">
        <w:tc>
          <w:tcPr>
            <w:tcW w:w="3150" w:type="dxa"/>
            <w:vAlign w:val="center"/>
          </w:tcPr>
          <w:p w14:paraId="32FB2E6C" w14:textId="77777777" w:rsidR="009D43DF" w:rsidRPr="00336B59" w:rsidRDefault="009D43DF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930C2F8" w14:textId="77777777" w:rsidR="009D43DF" w:rsidRPr="00336B59" w:rsidRDefault="009D43DF" w:rsidP="00B26389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FB14AA9" w14:textId="77777777" w:rsidR="009D43DF" w:rsidRPr="005722ED" w:rsidRDefault="009D43DF" w:rsidP="009D43DF">
      <w:pPr>
        <w:rPr>
          <w:rFonts w:eastAsia="Times New Roman"/>
          <w:noProof/>
        </w:rPr>
      </w:pPr>
    </w:p>
    <w:sectPr w:rsidR="009D43DF" w:rsidRPr="005722ED" w:rsidSect="00CE5F77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16:43:00Z" w:initials="AES">
    <w:p w14:paraId="11F0129B" w14:textId="77777777" w:rsidR="005722ED" w:rsidRDefault="005722ED" w:rsidP="005722ED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" w:date="2023-12-06T09:26:00Z" w:initials="AES">
    <w:p w14:paraId="54B9B958" w14:textId="01415ACD" w:rsidR="009D43DF" w:rsidRDefault="005722ED" w:rsidP="009D43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9D43DF">
        <w:t>...</w:t>
      </w:r>
      <w:bookmarkStart w:id="2" w:name="_GoBack"/>
      <w:bookmarkEnd w:id="2"/>
    </w:p>
    <w:p w14:paraId="0F7D010B" w14:textId="75EB2921" w:rsidR="005722ED" w:rsidRDefault="005722ED">
      <w:pPr>
        <w:pStyle w:val="CommentText"/>
      </w:pPr>
    </w:p>
  </w:comment>
  <w:comment w:id="3" w:author="Advisera" w:date="2023-12-06T07:29:00Z" w:initials="AES">
    <w:p w14:paraId="6D5583C9" w14:textId="77777777" w:rsidR="005722ED" w:rsidRDefault="005722ED" w:rsidP="005722ED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5" w:author="Advisera" w:date="2023-11-30T20:42:00Z" w:initials="AES">
    <w:p w14:paraId="02F6A327" w14:textId="012C6D91" w:rsidR="001203A5" w:rsidRPr="001203A5" w:rsidRDefault="001203A5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1203A5">
        <w:rPr>
          <w:rFonts w:eastAsia="Times New Roman"/>
          <w:noProof w:val="0"/>
          <w:sz w:val="16"/>
          <w:szCs w:val="16"/>
        </w:rPr>
        <w:annotationRef/>
      </w:r>
      <w:r w:rsidRPr="001203A5">
        <w:rPr>
          <w:rFonts w:eastAsia="Times New Roman"/>
          <w:color w:val="000000" w:themeColor="text1"/>
        </w:rPr>
        <w:t>Inclua o nome da sua organização.</w:t>
      </w:r>
    </w:p>
  </w:comment>
  <w:comment w:id="6" w:author="Advisera" w:date="2023-11-30T20:42:00Z" w:initials="AES">
    <w:p w14:paraId="4332565D" w14:textId="0E18A5C0" w:rsidR="001203A5" w:rsidRDefault="001203A5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1" w:author="Advisera" w:date="2023-11-30T20:44:00Z" w:initials="AES">
    <w:p w14:paraId="72E0DA67" w14:textId="2F8B8249" w:rsidR="001203A5" w:rsidRPr="001203A5" w:rsidRDefault="001203A5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1203A5">
        <w:rPr>
          <w:rFonts w:eastAsia="Times New Roman"/>
          <w:noProof w:val="0"/>
          <w:sz w:val="16"/>
          <w:szCs w:val="16"/>
        </w:rPr>
        <w:annotationRef/>
      </w:r>
      <w:r w:rsidRPr="001203A5">
        <w:rPr>
          <w:rFonts w:eastAsia="Times New Roman"/>
          <w:color w:val="000000" w:themeColor="text1"/>
        </w:rPr>
        <w:t>Inclua o nome da sua organização.</w:t>
      </w:r>
    </w:p>
  </w:comment>
  <w:comment w:id="12" w:author="Advisera" w:date="2023-12-06T09:27:00Z" w:initials="AES">
    <w:p w14:paraId="29F5B550" w14:textId="06B84CD3" w:rsidR="005722ED" w:rsidRDefault="005722ED">
      <w:pPr>
        <w:pStyle w:val="CommentText"/>
      </w:pPr>
      <w:r>
        <w:rPr>
          <w:rStyle w:val="CommentReference"/>
        </w:rPr>
        <w:annotationRef/>
      </w:r>
      <w:r w:rsidRPr="005722ED">
        <w:t>Alternativamente, é possível dizer algo como: “restringe o suso e BYOD somente para um número menor de funcionários que não poderiam executar o trabalho de outra forma”.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F0129B" w15:done="0"/>
  <w15:commentEx w15:paraId="0F7D010B" w15:done="0"/>
  <w15:commentEx w15:paraId="6D5583C9" w15:done="0"/>
  <w15:commentEx w15:paraId="02F6A327" w15:done="0"/>
  <w15:commentEx w15:paraId="4332565D" w15:done="0"/>
  <w15:commentEx w15:paraId="72E0DA67" w15:done="0"/>
  <w15:commentEx w15:paraId="29F5B55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15C9" w16cex:dateUtc="2017-10-12T02:12:00Z"/>
  <w16cex:commentExtensible w16cex:durableId="26361DCB" w16cex:dateUtc="2022-05-11T00:19:00Z"/>
  <w16cex:commentExtensible w16cex:durableId="287D43D3" w16cex:dateUtc="2022-05-11T00:19:00Z"/>
  <w16cex:commentExtensible w16cex:durableId="287D447E" w16cex:dateUtc="2022-05-11T00:19:00Z"/>
  <w16cex:commentExtensible w16cex:durableId="287D4523" w16cex:dateUtc="2022-05-11T00:19:00Z"/>
  <w16cex:commentExtensible w16cex:durableId="287D452C" w16cex:dateUtc="2022-05-11T00:19:00Z"/>
  <w16cex:commentExtensible w16cex:durableId="287D4611" w16cex:dateUtc="2022-05-11T00:19:00Z"/>
  <w16cex:commentExtensible w16cex:durableId="287D463C" w16cex:dateUtc="2022-05-11T0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F0129B" w16cid:durableId="291ABCBA"/>
  <w16cid:commentId w16cid:paraId="0F7D010B" w16cid:durableId="291ABCC3"/>
  <w16cid:commentId w16cid:paraId="6D5583C9" w16cid:durableId="291ABCCB"/>
  <w16cid:commentId w16cid:paraId="02F6A327" w16cid:durableId="29137232"/>
  <w16cid:commentId w16cid:paraId="4332565D" w16cid:durableId="2913723C"/>
  <w16cid:commentId w16cid:paraId="72E0DA67" w16cid:durableId="291372C5"/>
  <w16cid:commentId w16cid:paraId="29F5B550" w16cid:durableId="291ABCEB"/>
  <w16cid:commentId w16cid:paraId="5C251920" w16cid:durableId="291373C5"/>
  <w16cid:commentId w16cid:paraId="2A852ED0" w16cid:durableId="291373F4"/>
  <w16cid:commentId w16cid:paraId="61D5CB6B" w16cid:durableId="29137423"/>
  <w16cid:commentId w16cid:paraId="709BE2A5" w16cid:durableId="291374B7"/>
  <w16cid:commentId w16cid:paraId="1A83E8BF" w16cid:durableId="291374F0"/>
  <w16cid:commentId w16cid:paraId="53CE5545" w16cid:durableId="29137510"/>
  <w16cid:commentId w16cid:paraId="11E59DFA" w16cid:durableId="291374FD"/>
  <w16cid:commentId w16cid:paraId="3B359201" w16cid:durableId="291ABD0A"/>
  <w16cid:commentId w16cid:paraId="1ABE513B" w16cid:durableId="2913755B"/>
  <w16cid:commentId w16cid:paraId="7CD3EB64" w16cid:durableId="2913757A"/>
  <w16cid:commentId w16cid:paraId="119E70F9" w16cid:durableId="29137568"/>
  <w16cid:commentId w16cid:paraId="2F886E74" w16cid:durableId="291ABD1E"/>
  <w16cid:commentId w16cid:paraId="29E782F8" w16cid:durableId="291375D8"/>
  <w16cid:commentId w16cid:paraId="55F0BEE8" w16cid:durableId="29137650"/>
  <w16cid:commentId w16cid:paraId="21C2DA2E" w16cid:durableId="2913775B"/>
  <w16cid:commentId w16cid:paraId="3D9B72C9" w16cid:durableId="291ABD3F"/>
  <w16cid:commentId w16cid:paraId="6EDD11F4" w16cid:durableId="291ABD4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A2F47" w14:textId="77777777" w:rsidR="00120ADE" w:rsidRDefault="00120ADE" w:rsidP="00CE5F77">
      <w:pPr>
        <w:spacing w:after="0" w:line="240" w:lineRule="auto"/>
      </w:pPr>
      <w:r>
        <w:separator/>
      </w:r>
    </w:p>
  </w:endnote>
  <w:endnote w:type="continuationSeparator" w:id="0">
    <w:p w14:paraId="13D81F03" w14:textId="77777777" w:rsidR="00120ADE" w:rsidRDefault="00120ADE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6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11"/>
      <w:gridCol w:w="2242"/>
      <w:gridCol w:w="3363"/>
    </w:tblGrid>
    <w:tr w:rsidR="00CE5F77" w:rsidRPr="006571EC" w14:paraId="7D66863A" w14:textId="77777777" w:rsidTr="001203A5">
      <w:tc>
        <w:tcPr>
          <w:tcW w:w="3553" w:type="dxa"/>
        </w:tcPr>
        <w:p w14:paraId="692E0F7B" w14:textId="7FDFC7E3" w:rsidR="00CE5F77" w:rsidRPr="00995555" w:rsidRDefault="00700742" w:rsidP="00A15A61">
          <w:pPr>
            <w:pStyle w:val="Footer"/>
            <w:rPr>
              <w:sz w:val="18"/>
              <w:szCs w:val="18"/>
            </w:rPr>
          </w:pPr>
          <w:r w:rsidRPr="00700742">
            <w:rPr>
              <w:sz w:val="18"/>
            </w:rPr>
            <w:t>Política de traga seu próprio dispositivo (BYOD)</w:t>
          </w:r>
        </w:p>
      </w:tc>
      <w:tc>
        <w:tcPr>
          <w:tcW w:w="2206" w:type="dxa"/>
        </w:tcPr>
        <w:p w14:paraId="6693EC1A" w14:textId="77777777" w:rsidR="00CE5F77" w:rsidRPr="006571EC" w:rsidRDefault="00CE5F77" w:rsidP="00CE5F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309" w:type="dxa"/>
        </w:tcPr>
        <w:p w14:paraId="45730DC4" w14:textId="5ED13D60" w:rsidR="00CE5F77" w:rsidRPr="006571EC" w:rsidRDefault="00CE5F77" w:rsidP="00CE5F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74218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F74218">
            <w:rPr>
              <w:sz w:val="18"/>
            </w:rPr>
            <w:fldChar w:fldCharType="separate"/>
          </w:r>
          <w:r w:rsidR="009D43DF">
            <w:rPr>
              <w:sz w:val="18"/>
            </w:rPr>
            <w:t>4</w:t>
          </w:r>
          <w:r w:rsidR="00F74218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74218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F74218">
            <w:rPr>
              <w:sz w:val="18"/>
            </w:rPr>
            <w:fldChar w:fldCharType="separate"/>
          </w:r>
          <w:r w:rsidR="009D43DF">
            <w:rPr>
              <w:sz w:val="18"/>
            </w:rPr>
            <w:t>4</w:t>
          </w:r>
          <w:r w:rsidR="00F74218">
            <w:rPr>
              <w:sz w:val="18"/>
            </w:rPr>
            <w:fldChar w:fldCharType="end"/>
          </w:r>
        </w:p>
      </w:tc>
    </w:tr>
  </w:tbl>
  <w:p w14:paraId="7EDB15B6" w14:textId="3EFD0AF9" w:rsidR="00CE5F77" w:rsidRPr="00995555" w:rsidRDefault="001203A5" w:rsidP="001203A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>
      <w:rPr>
        <w:sz w:val="16"/>
      </w:rPr>
      <w:t xml:space="preserve">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69F2B" w14:textId="5431B4E1" w:rsidR="00CE5F77" w:rsidRPr="001203A5" w:rsidRDefault="001203A5" w:rsidP="001203A5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97043" w14:textId="77777777" w:rsidR="00120ADE" w:rsidRDefault="00120ADE" w:rsidP="00CE5F77">
      <w:pPr>
        <w:spacing w:after="0" w:line="240" w:lineRule="auto"/>
      </w:pPr>
      <w:r>
        <w:separator/>
      </w:r>
    </w:p>
  </w:footnote>
  <w:footnote w:type="continuationSeparator" w:id="0">
    <w:p w14:paraId="3BE0BFB4" w14:textId="77777777" w:rsidR="00120ADE" w:rsidRDefault="00120ADE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CE5F77" w:rsidRPr="006571EC" w14:paraId="5B701E26" w14:textId="77777777">
      <w:tc>
        <w:tcPr>
          <w:tcW w:w="6771" w:type="dxa"/>
        </w:tcPr>
        <w:p w14:paraId="015E29AF" w14:textId="14199F02" w:rsidR="00CE5F77" w:rsidRPr="006571EC" w:rsidRDefault="001203A5" w:rsidP="00CE5F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13673776" w14:textId="464B1E0A" w:rsidR="00CE5F77" w:rsidRPr="006571EC" w:rsidRDefault="001203A5" w:rsidP="00CE5F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98A38A9" w14:textId="77777777" w:rsidR="00CE5F77" w:rsidRPr="003056B2" w:rsidRDefault="00CE5F77" w:rsidP="00CE5F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568D6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0A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387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6D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E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E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25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87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9EA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D690D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A42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07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69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2D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645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46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0A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C1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8C20134"/>
    <w:multiLevelType w:val="hybridMultilevel"/>
    <w:tmpl w:val="1132F4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827C2DE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6FC1A7A">
      <w:start w:val="1"/>
      <w:numFmt w:val="lowerLetter"/>
      <w:lvlText w:val="%2."/>
      <w:lvlJc w:val="left"/>
      <w:pPr>
        <w:ind w:left="1800" w:hanging="360"/>
      </w:pPr>
    </w:lvl>
    <w:lvl w:ilvl="2" w:tplc="F9F021C2">
      <w:start w:val="1"/>
      <w:numFmt w:val="lowerRoman"/>
      <w:lvlText w:val="%3."/>
      <w:lvlJc w:val="right"/>
      <w:pPr>
        <w:ind w:left="2520" w:hanging="180"/>
      </w:pPr>
    </w:lvl>
    <w:lvl w:ilvl="3" w:tplc="8766ED54" w:tentative="1">
      <w:start w:val="1"/>
      <w:numFmt w:val="decimal"/>
      <w:lvlText w:val="%4."/>
      <w:lvlJc w:val="left"/>
      <w:pPr>
        <w:ind w:left="3240" w:hanging="360"/>
      </w:pPr>
    </w:lvl>
    <w:lvl w:ilvl="4" w:tplc="752CACFA" w:tentative="1">
      <w:start w:val="1"/>
      <w:numFmt w:val="lowerLetter"/>
      <w:lvlText w:val="%5."/>
      <w:lvlJc w:val="left"/>
      <w:pPr>
        <w:ind w:left="3960" w:hanging="360"/>
      </w:pPr>
    </w:lvl>
    <w:lvl w:ilvl="5" w:tplc="7C5089F8" w:tentative="1">
      <w:start w:val="1"/>
      <w:numFmt w:val="lowerRoman"/>
      <w:lvlText w:val="%6."/>
      <w:lvlJc w:val="right"/>
      <w:pPr>
        <w:ind w:left="4680" w:hanging="180"/>
      </w:pPr>
    </w:lvl>
    <w:lvl w:ilvl="6" w:tplc="9AA433CA" w:tentative="1">
      <w:start w:val="1"/>
      <w:numFmt w:val="decimal"/>
      <w:lvlText w:val="%7."/>
      <w:lvlJc w:val="left"/>
      <w:pPr>
        <w:ind w:left="5400" w:hanging="360"/>
      </w:pPr>
    </w:lvl>
    <w:lvl w:ilvl="7" w:tplc="3438BB34" w:tentative="1">
      <w:start w:val="1"/>
      <w:numFmt w:val="lowerLetter"/>
      <w:lvlText w:val="%8."/>
      <w:lvlJc w:val="left"/>
      <w:pPr>
        <w:ind w:left="6120" w:hanging="360"/>
      </w:pPr>
    </w:lvl>
    <w:lvl w:ilvl="8" w:tplc="37B698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50735C"/>
    <w:multiLevelType w:val="hybridMultilevel"/>
    <w:tmpl w:val="CD0CFFA8"/>
    <w:lvl w:ilvl="0" w:tplc="8A623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AE4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02B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41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48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C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B9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62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A5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23633"/>
    <w:multiLevelType w:val="hybridMultilevel"/>
    <w:tmpl w:val="EC0E62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542EC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AC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966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47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0A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CE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6C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8C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C2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D2F"/>
    <w:multiLevelType w:val="hybridMultilevel"/>
    <w:tmpl w:val="EED281D6"/>
    <w:lvl w:ilvl="0" w:tplc="803CD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E4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FA1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25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82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2F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C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06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28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6DFE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AC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F49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0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00A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E5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87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CA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67090"/>
    <w:multiLevelType w:val="hybridMultilevel"/>
    <w:tmpl w:val="946ECF1A"/>
    <w:lvl w:ilvl="0" w:tplc="F3C8D1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440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8D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AC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E8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C5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4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4BC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0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45C64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05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561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86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480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2D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68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E63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B279E"/>
    <w:multiLevelType w:val="hybridMultilevel"/>
    <w:tmpl w:val="3A486C80"/>
    <w:lvl w:ilvl="0" w:tplc="10A868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BDC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686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48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8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E15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86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66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0"/>
  </w:num>
  <w:num w:numId="5">
    <w:abstractNumId w:val="3"/>
  </w:num>
  <w:num w:numId="6">
    <w:abstractNumId w:val="5"/>
  </w:num>
  <w:num w:numId="7">
    <w:abstractNumId w:val="12"/>
  </w:num>
  <w:num w:numId="8">
    <w:abstractNumId w:val="2"/>
  </w:num>
  <w:num w:numId="9">
    <w:abstractNumId w:val="13"/>
  </w:num>
  <w:num w:numId="10">
    <w:abstractNumId w:val="9"/>
  </w:num>
  <w:num w:numId="11">
    <w:abstractNumId w:val="11"/>
  </w:num>
  <w:num w:numId="12">
    <w:abstractNumId w:val="6"/>
  </w:num>
  <w:num w:numId="13">
    <w:abstractNumId w:val="4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6190"/>
    <w:rsid w:val="00064CBC"/>
    <w:rsid w:val="000971E5"/>
    <w:rsid w:val="000A20ED"/>
    <w:rsid w:val="000F6C48"/>
    <w:rsid w:val="001054A2"/>
    <w:rsid w:val="0011537C"/>
    <w:rsid w:val="001203A5"/>
    <w:rsid w:val="00120ADE"/>
    <w:rsid w:val="00132307"/>
    <w:rsid w:val="00145352"/>
    <w:rsid w:val="00145E50"/>
    <w:rsid w:val="00171599"/>
    <w:rsid w:val="00175178"/>
    <w:rsid w:val="001B29BC"/>
    <w:rsid w:val="001B4CB4"/>
    <w:rsid w:val="001E3746"/>
    <w:rsid w:val="001E3D6C"/>
    <w:rsid w:val="001F54AC"/>
    <w:rsid w:val="00276FF9"/>
    <w:rsid w:val="002B2D4A"/>
    <w:rsid w:val="002B791C"/>
    <w:rsid w:val="002C0ADF"/>
    <w:rsid w:val="00336B37"/>
    <w:rsid w:val="003B7CDA"/>
    <w:rsid w:val="003C5792"/>
    <w:rsid w:val="003E7C93"/>
    <w:rsid w:val="004144C2"/>
    <w:rsid w:val="00421341"/>
    <w:rsid w:val="00422200"/>
    <w:rsid w:val="00431BE2"/>
    <w:rsid w:val="00447FC4"/>
    <w:rsid w:val="00474468"/>
    <w:rsid w:val="00495BF5"/>
    <w:rsid w:val="004B1DD8"/>
    <w:rsid w:val="004C16C4"/>
    <w:rsid w:val="004E684D"/>
    <w:rsid w:val="004F12E8"/>
    <w:rsid w:val="00525BB4"/>
    <w:rsid w:val="005262DE"/>
    <w:rsid w:val="00530557"/>
    <w:rsid w:val="00550401"/>
    <w:rsid w:val="00551DBD"/>
    <w:rsid w:val="00557C48"/>
    <w:rsid w:val="005623BB"/>
    <w:rsid w:val="005722ED"/>
    <w:rsid w:val="005C0DF4"/>
    <w:rsid w:val="005D6A43"/>
    <w:rsid w:val="005F46E3"/>
    <w:rsid w:val="00670E5D"/>
    <w:rsid w:val="0068060B"/>
    <w:rsid w:val="00683EEA"/>
    <w:rsid w:val="006B3742"/>
    <w:rsid w:val="006C2326"/>
    <w:rsid w:val="00700742"/>
    <w:rsid w:val="00731D23"/>
    <w:rsid w:val="00762D0B"/>
    <w:rsid w:val="00767CDD"/>
    <w:rsid w:val="00780ADF"/>
    <w:rsid w:val="007A1A55"/>
    <w:rsid w:val="007D4C6F"/>
    <w:rsid w:val="007F48CB"/>
    <w:rsid w:val="00814B4E"/>
    <w:rsid w:val="0082469C"/>
    <w:rsid w:val="00860031"/>
    <w:rsid w:val="008829F5"/>
    <w:rsid w:val="0088764B"/>
    <w:rsid w:val="008B3147"/>
    <w:rsid w:val="008D0CF6"/>
    <w:rsid w:val="008E4BB4"/>
    <w:rsid w:val="008E6908"/>
    <w:rsid w:val="0091464C"/>
    <w:rsid w:val="0091628B"/>
    <w:rsid w:val="00927DFD"/>
    <w:rsid w:val="0094407C"/>
    <w:rsid w:val="00973F28"/>
    <w:rsid w:val="00995555"/>
    <w:rsid w:val="00995B4D"/>
    <w:rsid w:val="009B4073"/>
    <w:rsid w:val="009D2C0E"/>
    <w:rsid w:val="009D43DF"/>
    <w:rsid w:val="009D73A4"/>
    <w:rsid w:val="00A02404"/>
    <w:rsid w:val="00A15A61"/>
    <w:rsid w:val="00A16A9D"/>
    <w:rsid w:val="00A55D97"/>
    <w:rsid w:val="00A5647F"/>
    <w:rsid w:val="00A64645"/>
    <w:rsid w:val="00A74646"/>
    <w:rsid w:val="00AB04AC"/>
    <w:rsid w:val="00AB2D78"/>
    <w:rsid w:val="00AB5CE3"/>
    <w:rsid w:val="00B260D4"/>
    <w:rsid w:val="00B54414"/>
    <w:rsid w:val="00B547EF"/>
    <w:rsid w:val="00B93E18"/>
    <w:rsid w:val="00B954A0"/>
    <w:rsid w:val="00B96723"/>
    <w:rsid w:val="00BB1BFC"/>
    <w:rsid w:val="00BB54A9"/>
    <w:rsid w:val="00BD7289"/>
    <w:rsid w:val="00BD79EB"/>
    <w:rsid w:val="00C32759"/>
    <w:rsid w:val="00C6007B"/>
    <w:rsid w:val="00CD5757"/>
    <w:rsid w:val="00CE152C"/>
    <w:rsid w:val="00CE3BCF"/>
    <w:rsid w:val="00CE5F77"/>
    <w:rsid w:val="00CE6B70"/>
    <w:rsid w:val="00CF3A3E"/>
    <w:rsid w:val="00D12A51"/>
    <w:rsid w:val="00D567D9"/>
    <w:rsid w:val="00D630CC"/>
    <w:rsid w:val="00DD70FB"/>
    <w:rsid w:val="00E0399E"/>
    <w:rsid w:val="00E31ACC"/>
    <w:rsid w:val="00E45E2E"/>
    <w:rsid w:val="00E51BD3"/>
    <w:rsid w:val="00E953EB"/>
    <w:rsid w:val="00EB26D0"/>
    <w:rsid w:val="00EB63EC"/>
    <w:rsid w:val="00EC0794"/>
    <w:rsid w:val="00F0210A"/>
    <w:rsid w:val="00F21541"/>
    <w:rsid w:val="00F232A1"/>
    <w:rsid w:val="00F37BCD"/>
    <w:rsid w:val="00F534C4"/>
    <w:rsid w:val="00F605B3"/>
    <w:rsid w:val="00F74218"/>
    <w:rsid w:val="00F81302"/>
    <w:rsid w:val="00F82A87"/>
    <w:rsid w:val="00FD0F69"/>
    <w:rsid w:val="00FE0182"/>
    <w:rsid w:val="5051F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52ABB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84D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4E684D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4E684D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4E684D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4E684D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4E684D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4E684D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684D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B29BC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B1DD8"/>
    <w:pPr>
      <w:ind w:left="720"/>
      <w:contextualSpacing/>
    </w:pPr>
  </w:style>
  <w:style w:type="paragraph" w:styleId="Revision">
    <w:name w:val="Revision"/>
    <w:hidden/>
    <w:uiPriority w:val="99"/>
    <w:semiHidden/>
    <w:rsid w:val="00700742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399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203A5"/>
    <w:rPr>
      <w:rFonts w:eastAsia="Times New Roman"/>
      <w:sz w:val="22"/>
      <w:szCs w:val="22"/>
      <w:lang w:val="pt-BR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2E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0A1FA53-8980-4C5E-BA0A-B6C4FF81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Política de traga seu próprio dispositivo (BYOD)</vt:lpstr>
    </vt:vector>
  </TitlesOfParts>
  <Company>Advisera Expert Solutions Ltd</Company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traga seu próprio dispositivo (BYOD)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2023-12-14T12:38:00Z</dcterms:created>
  <dcterms:modified xsi:type="dcterms:W3CDTF">2023-12-14T12:38:00Z</dcterms:modified>
</cp:coreProperties>
</file>