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A9" w:rsidRPr="008811F7" w:rsidRDefault="000C7FA9">
      <w:pPr>
        <w:rPr>
          <w:lang w:val="pt-BR"/>
        </w:rPr>
      </w:pPr>
    </w:p>
    <w:p w:rsidR="000C7FA9" w:rsidRPr="008811F7" w:rsidRDefault="000C7FA9">
      <w:pPr>
        <w:rPr>
          <w:lang w:val="pt-BR"/>
        </w:rPr>
      </w:pPr>
    </w:p>
    <w:p w:rsidR="000C7FA9" w:rsidRPr="008811F7" w:rsidRDefault="00DE034E" w:rsidP="00E65655">
      <w:pPr>
        <w:jc w:val="center"/>
        <w:rPr>
          <w:lang w:val="pt-BR"/>
        </w:rPr>
      </w:pPr>
      <w:r w:rsidRPr="00DE034E">
        <w:rPr>
          <w:lang w:val="pt-BR"/>
        </w:rPr>
        <w:t>** VERSÃO DE DEMONSTRAÇÃO **</w:t>
      </w:r>
    </w:p>
    <w:p w:rsidR="000C7FA9" w:rsidRPr="008811F7" w:rsidRDefault="000C7FA9">
      <w:pPr>
        <w:rPr>
          <w:lang w:val="pt-BR"/>
        </w:rPr>
      </w:pPr>
    </w:p>
    <w:p w:rsidR="000C7FA9" w:rsidRPr="008811F7" w:rsidRDefault="000C7FA9">
      <w:pPr>
        <w:rPr>
          <w:lang w:val="pt-BR"/>
        </w:rPr>
      </w:pPr>
    </w:p>
    <w:p w:rsidR="000C7FA9" w:rsidRPr="008811F7" w:rsidRDefault="000C7FA9">
      <w:pPr>
        <w:rPr>
          <w:lang w:val="pt-BR"/>
        </w:rPr>
      </w:pPr>
    </w:p>
    <w:p w:rsidR="000C7FA9" w:rsidRPr="008811F7" w:rsidRDefault="000C7FA9" w:rsidP="000C7FA9">
      <w:pPr>
        <w:jc w:val="center"/>
        <w:rPr>
          <w:lang w:val="pt-BR"/>
        </w:rPr>
      </w:pPr>
      <w:commentRangeStart w:id="0"/>
      <w:r w:rsidRPr="008811F7">
        <w:rPr>
          <w:lang w:val="pt-BR"/>
        </w:rPr>
        <w:t>[logotipo da organização]</w:t>
      </w:r>
      <w:commentRangeEnd w:id="0"/>
      <w:r w:rsidRPr="008811F7">
        <w:rPr>
          <w:rStyle w:val="CommentReference"/>
          <w:lang w:val="pt-BR"/>
        </w:rPr>
        <w:commentReference w:id="0"/>
      </w:r>
    </w:p>
    <w:p w:rsidR="000C7FA9" w:rsidRPr="008811F7" w:rsidRDefault="000C7FA9" w:rsidP="000C7FA9">
      <w:pPr>
        <w:jc w:val="center"/>
        <w:rPr>
          <w:lang w:val="pt-BR"/>
        </w:rPr>
      </w:pPr>
      <w:r w:rsidRPr="008811F7">
        <w:rPr>
          <w:lang w:val="pt-BR"/>
        </w:rPr>
        <w:t>[nome da organização]</w:t>
      </w:r>
    </w:p>
    <w:p w:rsidR="000C7FA9" w:rsidRPr="008811F7" w:rsidRDefault="000C7FA9" w:rsidP="000C7FA9">
      <w:pPr>
        <w:jc w:val="center"/>
        <w:rPr>
          <w:lang w:val="pt-BR"/>
        </w:rPr>
      </w:pPr>
    </w:p>
    <w:p w:rsidR="000C7FA9" w:rsidRPr="008811F7" w:rsidRDefault="000C7FA9" w:rsidP="000C7FA9">
      <w:pPr>
        <w:jc w:val="center"/>
        <w:rPr>
          <w:lang w:val="pt-BR"/>
        </w:rPr>
      </w:pPr>
    </w:p>
    <w:p w:rsidR="000C7FA9" w:rsidRPr="008811F7" w:rsidRDefault="000C7FA9" w:rsidP="000C7FA9">
      <w:pPr>
        <w:jc w:val="center"/>
        <w:rPr>
          <w:b/>
          <w:sz w:val="32"/>
          <w:szCs w:val="32"/>
          <w:lang w:val="pt-BR"/>
        </w:rPr>
      </w:pPr>
      <w:bookmarkStart w:id="1" w:name="OLE_LINK1"/>
      <w:bookmarkStart w:id="2" w:name="OLE_LINK2"/>
      <w:r w:rsidRPr="008811F7">
        <w:rPr>
          <w:b/>
          <w:sz w:val="32"/>
          <w:lang w:val="pt-BR"/>
        </w:rPr>
        <w:t>POLÍTICA DE CONTINUIDADE DE NEGÓCIOS</w:t>
      </w:r>
    </w:p>
    <w:bookmarkEnd w:id="1"/>
    <w:bookmarkEnd w:id="2"/>
    <w:p w:rsidR="000C7FA9" w:rsidRPr="008811F7" w:rsidRDefault="000C7FA9" w:rsidP="000C7FA9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912"/>
      </w:tblGrid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commentRangeStart w:id="3"/>
            <w:r w:rsidRPr="008811F7">
              <w:rPr>
                <w:lang w:val="pt-BR"/>
              </w:rPr>
              <w:t>Código</w:t>
            </w:r>
            <w:commentRangeEnd w:id="3"/>
            <w:r w:rsidRPr="008811F7">
              <w:rPr>
                <w:rStyle w:val="CommentReference"/>
                <w:lang w:val="pt-BR"/>
              </w:rPr>
              <w:commentReference w:id="3"/>
            </w:r>
            <w:r w:rsidRPr="008811F7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2376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</w:tbl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b/>
          <w:sz w:val="28"/>
          <w:szCs w:val="28"/>
          <w:lang w:val="pt-BR"/>
        </w:rPr>
      </w:pPr>
      <w:r w:rsidRPr="008811F7">
        <w:rPr>
          <w:b/>
          <w:sz w:val="28"/>
          <w:lang w:val="pt-BR"/>
        </w:rPr>
        <w:br w:type="page"/>
      </w:r>
      <w:r w:rsidRPr="008811F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Descrição da alteração</w:t>
            </w: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Esboço básico do documento</w:t>
            </w: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:rsidTr="000C7FA9">
        <w:tc>
          <w:tcPr>
            <w:tcW w:w="1384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0C7FA9" w:rsidRPr="008811F7" w:rsidRDefault="000C7FA9" w:rsidP="000C7FA9">
            <w:pPr>
              <w:rPr>
                <w:lang w:val="pt-BR"/>
              </w:rPr>
            </w:pPr>
          </w:p>
        </w:tc>
      </w:tr>
    </w:tbl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b/>
          <w:sz w:val="28"/>
          <w:szCs w:val="28"/>
          <w:lang w:val="pt-BR"/>
        </w:rPr>
      </w:pPr>
      <w:r w:rsidRPr="008811F7">
        <w:rPr>
          <w:b/>
          <w:sz w:val="28"/>
          <w:lang w:val="pt-BR"/>
        </w:rPr>
        <w:t>Sumário</w:t>
      </w:r>
    </w:p>
    <w:p w:rsidR="00A337F8" w:rsidRDefault="00B02C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8811F7">
        <w:rPr>
          <w:lang w:val="pt-BR"/>
        </w:rPr>
        <w:fldChar w:fldCharType="begin"/>
      </w:r>
      <w:r w:rsidR="000C7FA9" w:rsidRPr="008811F7">
        <w:rPr>
          <w:lang w:val="pt-BR"/>
        </w:rPr>
        <w:instrText xml:space="preserve"> TOC \o "1-3" \h \z \u </w:instrText>
      </w:r>
      <w:r w:rsidRPr="008811F7">
        <w:rPr>
          <w:lang w:val="pt-BR"/>
        </w:rPr>
        <w:fldChar w:fldCharType="separate"/>
      </w:r>
      <w:hyperlink w:anchor="_Toc325402701" w:history="1">
        <w:r w:rsidR="00A337F8" w:rsidRPr="006D5651">
          <w:rPr>
            <w:rStyle w:val="Hyperlink"/>
            <w:noProof/>
            <w:lang w:val="pt-BR"/>
          </w:rPr>
          <w:t>1.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Finalidade, escopo e usuários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02" w:history="1">
        <w:r w:rsidR="00A337F8" w:rsidRPr="006D5651">
          <w:rPr>
            <w:rStyle w:val="Hyperlink"/>
            <w:noProof/>
            <w:lang w:val="pt-BR"/>
          </w:rPr>
          <w:t>2.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Documentos de referência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03" w:history="1">
        <w:r w:rsidR="00A337F8" w:rsidRPr="006D5651">
          <w:rPr>
            <w:rStyle w:val="Hyperlink"/>
            <w:noProof/>
            <w:lang w:val="pt-BR"/>
          </w:rPr>
          <w:t>3.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Gestão da continuidade de negócios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4" w:history="1">
        <w:r w:rsidR="00A337F8" w:rsidRPr="006D5651">
          <w:rPr>
            <w:rStyle w:val="Hyperlink"/>
            <w:noProof/>
            <w:lang w:val="pt-BR"/>
          </w:rPr>
          <w:t>3.1.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Objetivo da gestão da continuidade de negócios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5" w:history="1">
        <w:r w:rsidR="00A337F8" w:rsidRPr="006D5651">
          <w:rPr>
            <w:rStyle w:val="Hyperlink"/>
            <w:noProof/>
            <w:lang w:val="pt-BR"/>
          </w:rPr>
          <w:t>3.2.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Vínculos aos objetivos gerais e outros documentos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6" w:history="1">
        <w:r w:rsidR="00A337F8" w:rsidRPr="006D5651">
          <w:rPr>
            <w:rStyle w:val="Hyperlink"/>
            <w:noProof/>
            <w:lang w:val="pt-BR"/>
          </w:rPr>
          <w:t>3.3.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Definindo os objetivos da continuidade de negócios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7" w:history="1">
        <w:r w:rsidR="00A337F8" w:rsidRPr="006D5651">
          <w:rPr>
            <w:rStyle w:val="Hyperlink"/>
            <w:noProof/>
            <w:lang w:val="pt-BR"/>
          </w:rPr>
          <w:t>3.4.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Escopo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8" w:history="1">
        <w:r w:rsidR="00A337F8" w:rsidRPr="006D5651">
          <w:rPr>
            <w:rStyle w:val="Hyperlink"/>
            <w:noProof/>
            <w:lang w:val="pt-BR"/>
          </w:rPr>
          <w:t>3.5.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Principais produtos e serviços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9" w:history="1">
        <w:r w:rsidR="00A337F8" w:rsidRPr="006D5651">
          <w:rPr>
            <w:rStyle w:val="Hyperlink"/>
            <w:noProof/>
            <w:lang w:val="pt-BR"/>
          </w:rPr>
          <w:t>3.6.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Responsabilidades da gestão de continuidade de negócios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0" w:history="1">
        <w:r w:rsidR="00A337F8" w:rsidRPr="006D5651">
          <w:rPr>
            <w:rStyle w:val="Hyperlink"/>
            <w:noProof/>
            <w:lang w:val="pt-BR"/>
          </w:rPr>
          <w:t>3.7.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Medida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1" w:history="1">
        <w:r w:rsidR="00A337F8" w:rsidRPr="006D5651">
          <w:rPr>
            <w:rStyle w:val="Hyperlink"/>
            <w:noProof/>
            <w:lang w:val="pt-BR"/>
          </w:rPr>
          <w:t>3.8.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Comunicação da política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2" w:history="1">
        <w:r w:rsidR="00A337F8" w:rsidRPr="006D5651">
          <w:rPr>
            <w:rStyle w:val="Hyperlink"/>
            <w:noProof/>
            <w:lang w:val="pt-BR"/>
          </w:rPr>
          <w:t>3.9.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Suporte à implementação SGCN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37F8" w:rsidRDefault="00B02C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13" w:history="1">
        <w:r w:rsidR="00A337F8" w:rsidRPr="006D5651">
          <w:rPr>
            <w:rStyle w:val="Hyperlink"/>
            <w:noProof/>
            <w:lang w:val="pt-BR"/>
          </w:rPr>
          <w:t>4.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Validade e gestão de documentos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C7FA9" w:rsidRPr="008811F7" w:rsidRDefault="00B02C94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8811F7">
        <w:rPr>
          <w:lang w:val="pt-BR"/>
        </w:rPr>
        <w:fldChar w:fldCharType="end"/>
      </w: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pStyle w:val="Heading1"/>
        <w:rPr>
          <w:lang w:val="pt-BR"/>
        </w:rPr>
      </w:pPr>
      <w:r w:rsidRPr="008811F7">
        <w:rPr>
          <w:lang w:val="pt-BR"/>
        </w:rPr>
        <w:br w:type="page"/>
      </w:r>
      <w:bookmarkStart w:id="4" w:name="_Toc262738691"/>
      <w:bookmarkStart w:id="5" w:name="_Toc267576315"/>
      <w:bookmarkStart w:id="6" w:name="_Toc325402701"/>
      <w:r w:rsidRPr="008811F7">
        <w:rPr>
          <w:lang w:val="pt-BR"/>
        </w:rPr>
        <w:lastRenderedPageBreak/>
        <w:t xml:space="preserve">Finalidade, </w:t>
      </w:r>
      <w:r w:rsidR="00543209" w:rsidRPr="008811F7">
        <w:rPr>
          <w:lang w:val="pt-BR"/>
        </w:rPr>
        <w:t>escopo</w:t>
      </w:r>
      <w:r w:rsidRPr="008811F7">
        <w:rPr>
          <w:lang w:val="pt-BR"/>
        </w:rPr>
        <w:t xml:space="preserve"> e usuários</w:t>
      </w:r>
      <w:bookmarkEnd w:id="4"/>
      <w:bookmarkEnd w:id="5"/>
      <w:bookmarkEnd w:id="6"/>
    </w:p>
    <w:p w:rsidR="000C7FA9" w:rsidRPr="008811F7" w:rsidRDefault="00543209" w:rsidP="000C7FA9">
      <w:pPr>
        <w:rPr>
          <w:lang w:val="pt-BR"/>
        </w:rPr>
      </w:pPr>
      <w:r w:rsidRPr="008811F7">
        <w:rPr>
          <w:lang w:val="pt-BR"/>
        </w:rPr>
        <w:t>A finalidade</w:t>
      </w:r>
      <w:r w:rsidR="000C7FA9" w:rsidRPr="008811F7">
        <w:rPr>
          <w:lang w:val="pt-BR"/>
        </w:rPr>
        <w:t xml:space="preserve"> desta Política é definir o </w:t>
      </w:r>
      <w:r w:rsidRPr="008811F7">
        <w:rPr>
          <w:lang w:val="pt-BR"/>
        </w:rPr>
        <w:t>escopo</w:t>
      </w:r>
      <w:r w:rsidR="000C7FA9" w:rsidRPr="008811F7">
        <w:rPr>
          <w:lang w:val="pt-BR"/>
        </w:rPr>
        <w:t xml:space="preserve"> e as regras básicas de gestão de continuidade dos negócios.</w:t>
      </w:r>
    </w:p>
    <w:p w:rsidR="000C7FA9" w:rsidRPr="008811F7" w:rsidRDefault="000C7FA9" w:rsidP="000C7FA9">
      <w:pPr>
        <w:rPr>
          <w:lang w:val="pt-BR"/>
        </w:rPr>
      </w:pPr>
      <w:r w:rsidRPr="008811F7">
        <w:rPr>
          <w:lang w:val="pt-BR"/>
        </w:rPr>
        <w:t>Esta política aplica-se a todo o Sistema de gestão de continuidade de negócios (SGCN).</w:t>
      </w:r>
    </w:p>
    <w:p w:rsidR="000C7FA9" w:rsidRPr="008811F7" w:rsidRDefault="000C7FA9" w:rsidP="000C7FA9">
      <w:pPr>
        <w:rPr>
          <w:lang w:val="pt-BR"/>
        </w:rPr>
      </w:pPr>
      <w:r w:rsidRPr="008811F7">
        <w:rPr>
          <w:lang w:val="pt-BR"/>
        </w:rPr>
        <w:t>Os usuários deste documento são funcionários da [nome da organização], além de fornecedores e parceiros de terceirização que têm um papel no SGCN.</w:t>
      </w:r>
    </w:p>
    <w:p w:rsidR="000C7FA9" w:rsidRPr="008811F7" w:rsidRDefault="000C7FA9" w:rsidP="000C7FA9">
      <w:pPr>
        <w:rPr>
          <w:lang w:val="pt-BR"/>
        </w:rPr>
      </w:pPr>
    </w:p>
    <w:p w:rsidR="000C7FA9" w:rsidRDefault="000C7FA9" w:rsidP="000C7FA9">
      <w:pPr>
        <w:pStyle w:val="Heading1"/>
        <w:rPr>
          <w:lang w:val="pt-BR"/>
        </w:rPr>
      </w:pPr>
      <w:bookmarkStart w:id="7" w:name="_Toc262738692"/>
      <w:bookmarkStart w:id="8" w:name="_Toc267576316"/>
      <w:bookmarkStart w:id="9" w:name="_Toc325402702"/>
      <w:r w:rsidRPr="008811F7">
        <w:rPr>
          <w:lang w:val="pt-BR"/>
        </w:rPr>
        <w:t>Documentos de referência</w:t>
      </w:r>
      <w:bookmarkEnd w:id="7"/>
      <w:bookmarkEnd w:id="8"/>
      <w:bookmarkEnd w:id="9"/>
    </w:p>
    <w:p w:rsidR="00B564B1" w:rsidRPr="00B564B1" w:rsidRDefault="00B564B1" w:rsidP="00267933">
      <w:pPr>
        <w:pStyle w:val="ListParagraph"/>
        <w:numPr>
          <w:ilvl w:val="0"/>
          <w:numId w:val="10"/>
        </w:numPr>
        <w:spacing w:after="0"/>
        <w:rPr>
          <w:lang w:val="pt-BR"/>
        </w:rPr>
      </w:pPr>
      <w:r>
        <w:rPr>
          <w:lang w:val="pt-BR"/>
        </w:rPr>
        <w:t>Norma ISO 22301, cláusulas 4.1, 4.3, 5.3, 6.2 e 9.1.1</w:t>
      </w:r>
    </w:p>
    <w:p w:rsidR="000C7FA9" w:rsidRPr="008811F7" w:rsidRDefault="000C7FA9" w:rsidP="00267933">
      <w:pPr>
        <w:numPr>
          <w:ilvl w:val="0"/>
          <w:numId w:val="4"/>
        </w:numPr>
        <w:spacing w:after="0"/>
        <w:rPr>
          <w:lang w:val="pt-BR"/>
        </w:rPr>
      </w:pPr>
      <w:r w:rsidRPr="008811F7">
        <w:rPr>
          <w:lang w:val="pt-BR"/>
        </w:rPr>
        <w:t>Norma BS 25999-2, cláusulas 3.2.1, 3.2.2 e 3.2.3</w:t>
      </w:r>
    </w:p>
    <w:p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r w:rsidRPr="008811F7">
        <w:rPr>
          <w:lang w:val="pt-BR"/>
        </w:rPr>
        <w:t>Norma ISO/IEC 27001, cláusula A.14</w:t>
      </w:r>
    </w:p>
    <w:p w:rsidR="000C7FA9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0"/>
      <w:r w:rsidRPr="008811F7">
        <w:rPr>
          <w:lang w:val="pt-BR"/>
        </w:rPr>
        <w:t>Plano do projeto para Implementação do Sistema de gestão da continuidade de negócios</w:t>
      </w:r>
      <w:commentRangeEnd w:id="10"/>
      <w:r w:rsidRPr="008811F7">
        <w:rPr>
          <w:rStyle w:val="CommentReference"/>
          <w:lang w:val="pt-BR"/>
        </w:rPr>
        <w:commentReference w:id="10"/>
      </w:r>
    </w:p>
    <w:p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Lista de obrigações estatutárias, regulamentares, contratuais e outras</w:t>
      </w:r>
    </w:p>
    <w:p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Plano de tratamento de risco</w:t>
      </w:r>
    </w:p>
    <w:p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Plano de preparação para continuidade de negócios</w:t>
      </w:r>
    </w:p>
    <w:p w:rsidR="000C7FA9" w:rsidRPr="00267933" w:rsidRDefault="00B564B1" w:rsidP="00267933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Procedimento para ações corretivas e preventivas</w:t>
      </w:r>
    </w:p>
    <w:p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8811F7">
        <w:rPr>
          <w:lang w:val="pt-BR"/>
        </w:rPr>
        <w:t xml:space="preserve">  </w:t>
      </w:r>
      <w:commentRangeEnd w:id="11"/>
      <w:r w:rsidRPr="008811F7">
        <w:rPr>
          <w:rStyle w:val="CommentReference"/>
          <w:lang w:val="pt-BR"/>
        </w:rPr>
        <w:commentReference w:id="11"/>
      </w:r>
    </w:p>
    <w:p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8811F7">
        <w:rPr>
          <w:lang w:val="pt-BR"/>
        </w:rPr>
        <w:t xml:space="preserve">  </w:t>
      </w:r>
      <w:commentRangeEnd w:id="12"/>
      <w:r w:rsidRPr="008811F7">
        <w:rPr>
          <w:rStyle w:val="CommentReference"/>
          <w:lang w:val="pt-BR"/>
        </w:rPr>
        <w:commentReference w:id="12"/>
      </w:r>
    </w:p>
    <w:p w:rsidR="000C7FA9" w:rsidRPr="008811F7" w:rsidRDefault="000C7FA9" w:rsidP="000C7FA9">
      <w:pPr>
        <w:rPr>
          <w:lang w:val="pt-BR"/>
        </w:rPr>
      </w:pPr>
    </w:p>
    <w:p w:rsidR="000C7FA9" w:rsidRPr="008811F7" w:rsidRDefault="000C7FA9" w:rsidP="000C7FA9">
      <w:pPr>
        <w:pStyle w:val="Heading1"/>
        <w:rPr>
          <w:lang w:val="pt-BR"/>
        </w:rPr>
      </w:pPr>
      <w:bookmarkStart w:id="13" w:name="_Toc262738693"/>
      <w:bookmarkStart w:id="14" w:name="_Toc267576317"/>
      <w:bookmarkStart w:id="15" w:name="_Toc325402703"/>
      <w:r w:rsidRPr="008811F7">
        <w:rPr>
          <w:lang w:val="pt-BR"/>
        </w:rPr>
        <w:t>Gestão da continuidade de negócios</w:t>
      </w:r>
      <w:bookmarkEnd w:id="13"/>
      <w:bookmarkEnd w:id="14"/>
      <w:bookmarkEnd w:id="15"/>
    </w:p>
    <w:p w:rsidR="000C7FA9" w:rsidRPr="008811F7" w:rsidRDefault="000C7FA9" w:rsidP="000C7FA9">
      <w:pPr>
        <w:pStyle w:val="Heading2"/>
        <w:rPr>
          <w:lang w:val="pt-BR"/>
        </w:rPr>
      </w:pPr>
      <w:bookmarkStart w:id="16" w:name="_Toc262738694"/>
      <w:bookmarkStart w:id="17" w:name="_Toc267576318"/>
      <w:bookmarkStart w:id="18" w:name="_Toc325402704"/>
      <w:r w:rsidRPr="008811F7">
        <w:rPr>
          <w:lang w:val="pt-BR"/>
        </w:rPr>
        <w:t>Objetivo</w:t>
      </w:r>
      <w:bookmarkEnd w:id="16"/>
      <w:bookmarkEnd w:id="17"/>
      <w:r w:rsidR="00B564B1">
        <w:rPr>
          <w:lang w:val="pt-BR"/>
        </w:rPr>
        <w:t xml:space="preserve"> da gestão da continuidade de negócios</w:t>
      </w:r>
      <w:bookmarkEnd w:id="18"/>
    </w:p>
    <w:p w:rsidR="000C7FA9" w:rsidRDefault="000C7FA9" w:rsidP="000C7FA9">
      <w:pPr>
        <w:rPr>
          <w:lang w:val="pt-BR"/>
        </w:rPr>
      </w:pPr>
      <w:r w:rsidRPr="008811F7">
        <w:rPr>
          <w:lang w:val="pt-BR"/>
        </w:rPr>
        <w:t>O objetivo da gestão da continuidade de negócios é</w:t>
      </w:r>
      <w:r w:rsidR="00B564B1">
        <w:rPr>
          <w:lang w:val="pt-BR"/>
        </w:rPr>
        <w:t xml:space="preserve"> identificar ameaças em potencial a uma organização, os impactos nas operações de negócios que estas ameaças podem vir a causar,</w:t>
      </w:r>
      <w:r w:rsidRPr="008811F7">
        <w:rPr>
          <w:lang w:val="pt-BR"/>
        </w:rPr>
        <w:t xml:space="preserve"> </w:t>
      </w:r>
      <w:r w:rsidR="00B564B1">
        <w:rPr>
          <w:lang w:val="pt-BR"/>
        </w:rPr>
        <w:t>e oferecer uma estrutura para desenvolver resiliência organizacional com a capacidade de responder de forma eficaz</w:t>
      </w:r>
      <w:r w:rsidRPr="008811F7">
        <w:rPr>
          <w:lang w:val="pt-BR"/>
        </w:rPr>
        <w:t>.</w:t>
      </w:r>
    </w:p>
    <w:p w:rsidR="00E65655" w:rsidRDefault="00E65655" w:rsidP="000C7FA9">
      <w:pPr>
        <w:rPr>
          <w:lang w:val="pt-BR"/>
        </w:rPr>
      </w:pPr>
    </w:p>
    <w:p w:rsidR="00DE034E" w:rsidRPr="00DE034E" w:rsidRDefault="00DE034E" w:rsidP="00DE034E">
      <w:pPr>
        <w:jc w:val="center"/>
        <w:rPr>
          <w:lang w:val="pt-BR"/>
        </w:rPr>
      </w:pPr>
      <w:r w:rsidRPr="00DE034E">
        <w:rPr>
          <w:lang w:val="pt-BR"/>
        </w:rPr>
        <w:t>** FIM DA DEMONSTRAÇÃO **</w:t>
      </w:r>
    </w:p>
    <w:p w:rsidR="00E65655" w:rsidRDefault="00DE034E" w:rsidP="00DE034E">
      <w:pPr>
        <w:jc w:val="center"/>
        <w:rPr>
          <w:lang w:val="pt-BR"/>
        </w:rPr>
      </w:pPr>
      <w:r w:rsidRPr="00DE034E">
        <w:rPr>
          <w:lang w:val="pt-BR"/>
        </w:rPr>
        <w:t xml:space="preserve">Clique aqui para baixar a versão completa deste documento: </w:t>
      </w:r>
      <w:r w:rsidR="00E65655" w:rsidRPr="00E65655">
        <w:rPr>
          <w:lang w:val="pt-BR"/>
        </w:rPr>
        <w:t>http://www.iso27001standard.com/pt/documentacao/Estrategia-de-continuidade-de-negocios</w:t>
      </w:r>
    </w:p>
    <w:p w:rsidR="00E65655" w:rsidRDefault="00E65655">
      <w:pPr>
        <w:jc w:val="center"/>
        <w:rPr>
          <w:lang w:val="pt-BR"/>
        </w:rPr>
      </w:pPr>
    </w:p>
    <w:sectPr w:rsidR="00E65655" w:rsidSect="000C7FA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šutić" w:initials="DK">
    <w:p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Todos os campos desde documento que aparecem entre colchetes devem ser preenchidos.</w:t>
      </w:r>
    </w:p>
  </w:comment>
  <w:comment w:id="3" w:author="Dejan Košutić" w:initials="DK">
    <w:p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0" w:author="Dejan Košutić" w:initials="DK">
    <w:p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Exclua este item se esse documento não existir</w:t>
      </w:r>
    </w:p>
  </w:comment>
  <w:comment w:id="11" w:author="Dejan Košutić" w:initials="DK">
    <w:p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Liste todos os contratos que obrigam a organização a implementar a gestão da continuidade de negócios</w:t>
      </w:r>
    </w:p>
  </w:comment>
  <w:comment w:id="12" w:author="Dejan Košutić" w:date="2012-05-21T20:29:00Z" w:initials="DK">
    <w:p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Lista de outros documentos internos da organiza</w:t>
      </w:r>
      <w:r w:rsidR="00B564B1" w:rsidRPr="00267933">
        <w:rPr>
          <w:lang w:val="pt-BR"/>
        </w:rPr>
        <w:t>ção associados a esta Política,</w:t>
      </w:r>
      <w:r w:rsidRPr="00267933">
        <w:rPr>
          <w:lang w:val="pt-BR"/>
        </w:rPr>
        <w:t xml:space="preserve"> por exemplo, plano de desenvolvimento estratégico, plano de negócios, </w:t>
      </w:r>
      <w:r w:rsidR="00B564B1" w:rsidRPr="00267933">
        <w:rPr>
          <w:lang w:val="pt-BR"/>
        </w:rPr>
        <w:t>estratégia de</w:t>
      </w:r>
      <w:r w:rsidRPr="00267933">
        <w:rPr>
          <w:lang w:val="pt-BR"/>
        </w:rPr>
        <w:t xml:space="preserve"> gestão de riscos, etc.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7CD" w:rsidRDefault="000977CD" w:rsidP="000C7FA9">
      <w:pPr>
        <w:spacing w:after="0" w:line="240" w:lineRule="auto"/>
      </w:pPr>
      <w:r>
        <w:separator/>
      </w:r>
    </w:p>
  </w:endnote>
  <w:endnote w:type="continuationSeparator" w:id="1">
    <w:p w:rsidR="000977CD" w:rsidRDefault="000977CD" w:rsidP="000C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126"/>
      <w:gridCol w:w="3544"/>
    </w:tblGrid>
    <w:tr w:rsidR="000C7FA9" w:rsidRPr="006571EC" w:rsidTr="000C7FA9">
      <w:tc>
        <w:tcPr>
          <w:tcW w:w="3652" w:type="dxa"/>
        </w:tcPr>
        <w:p w:rsidR="000C7FA9" w:rsidRPr="00267933" w:rsidRDefault="000C7FA9" w:rsidP="00B564B1">
          <w:pPr>
            <w:pStyle w:val="Footer"/>
            <w:rPr>
              <w:sz w:val="18"/>
              <w:szCs w:val="18"/>
              <w:lang w:val="pt-BR"/>
            </w:rPr>
          </w:pPr>
          <w:r w:rsidRPr="00267933">
            <w:rPr>
              <w:sz w:val="18"/>
              <w:lang w:val="pt-BR"/>
            </w:rPr>
            <w:t>Política de continuidade de negócios</w:t>
          </w:r>
        </w:p>
      </w:tc>
      <w:tc>
        <w:tcPr>
          <w:tcW w:w="2126" w:type="dxa"/>
        </w:tcPr>
        <w:p w:rsidR="000C7FA9" w:rsidRPr="009A5709" w:rsidRDefault="000C7FA9" w:rsidP="000C7F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44" w:type="dxa"/>
        </w:tcPr>
        <w:p w:rsidR="000C7FA9" w:rsidRPr="009A5709" w:rsidRDefault="000C7FA9" w:rsidP="000C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02C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02C94">
            <w:rPr>
              <w:b/>
              <w:sz w:val="18"/>
            </w:rPr>
            <w:fldChar w:fldCharType="separate"/>
          </w:r>
          <w:r w:rsidR="00DE034E">
            <w:rPr>
              <w:b/>
              <w:noProof/>
              <w:sz w:val="18"/>
            </w:rPr>
            <w:t>3</w:t>
          </w:r>
          <w:r w:rsidR="00B02C9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02C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02C94">
            <w:rPr>
              <w:b/>
              <w:sz w:val="18"/>
            </w:rPr>
            <w:fldChar w:fldCharType="separate"/>
          </w:r>
          <w:r w:rsidR="00DE034E">
            <w:rPr>
              <w:b/>
              <w:noProof/>
              <w:sz w:val="18"/>
            </w:rPr>
            <w:t>3</w:t>
          </w:r>
          <w:r w:rsidR="00B02C94">
            <w:rPr>
              <w:b/>
              <w:sz w:val="18"/>
            </w:rPr>
            <w:fldChar w:fldCharType="end"/>
          </w:r>
        </w:p>
      </w:tc>
    </w:tr>
  </w:tbl>
  <w:p w:rsidR="000C7FA9" w:rsidRPr="00B564B1" w:rsidRDefault="000C7FA9" w:rsidP="000C7FA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67933">
      <w:rPr>
        <w:sz w:val="16"/>
        <w:lang w:val="pt-BR"/>
      </w:rPr>
      <w:t>©201</w:t>
    </w:r>
    <w:r w:rsidR="00B564B1" w:rsidRPr="00267933">
      <w:rPr>
        <w:sz w:val="16"/>
        <w:lang w:val="pt-BR"/>
      </w:rPr>
      <w:t>2</w:t>
    </w:r>
    <w:r w:rsidRPr="00267933">
      <w:rPr>
        <w:sz w:val="16"/>
        <w:lang w:val="pt-BR"/>
      </w:rPr>
      <w:t xml:space="preserve"> Este modelo pode ser usado por clientes da EPPS Services Ltd. </w:t>
    </w:r>
    <w:r w:rsidRPr="00B564B1">
      <w:rPr>
        <w:sz w:val="16"/>
        <w:lang w:val="pt-BR"/>
      </w:rPr>
      <w:t>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FA9" w:rsidRPr="00B564B1" w:rsidRDefault="000C7FA9" w:rsidP="000C7FA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67933">
      <w:rPr>
        <w:sz w:val="16"/>
        <w:lang w:val="pt-BR"/>
      </w:rPr>
      <w:t>©201</w:t>
    </w:r>
    <w:r w:rsidR="00B564B1" w:rsidRPr="00267933">
      <w:rPr>
        <w:sz w:val="16"/>
        <w:lang w:val="pt-BR"/>
      </w:rPr>
      <w:t>2</w:t>
    </w:r>
    <w:r w:rsidRPr="00267933">
      <w:rPr>
        <w:sz w:val="16"/>
        <w:lang w:val="pt-BR"/>
      </w:rPr>
      <w:t xml:space="preserve"> Este modelo pode ser usado por clientes da EPPS Services Ltd. </w:t>
    </w:r>
    <w:r w:rsidRPr="00B564B1">
      <w:rPr>
        <w:sz w:val="16"/>
        <w:lang w:val="pt-BR"/>
      </w:rPr>
      <w:t>www.iso27001standard.com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7CD" w:rsidRDefault="000977CD" w:rsidP="000C7FA9">
      <w:pPr>
        <w:spacing w:after="0" w:line="240" w:lineRule="auto"/>
      </w:pPr>
      <w:r>
        <w:separator/>
      </w:r>
    </w:p>
  </w:footnote>
  <w:footnote w:type="continuationSeparator" w:id="1">
    <w:p w:rsidR="000977CD" w:rsidRDefault="000977CD" w:rsidP="000C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0C7FA9" w:rsidRPr="006571EC" w:rsidTr="000C7FA9">
      <w:tc>
        <w:tcPr>
          <w:tcW w:w="6771" w:type="dxa"/>
        </w:tcPr>
        <w:p w:rsidR="000C7FA9" w:rsidRPr="009A5709" w:rsidRDefault="000C7FA9" w:rsidP="000C7F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0C7FA9" w:rsidRPr="009A5709" w:rsidRDefault="000C7FA9" w:rsidP="000C7FA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0C7FA9" w:rsidRPr="003056B2" w:rsidRDefault="000C7FA9" w:rsidP="000C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55C4B82E"/>
    <w:lvl w:ilvl="0" w:tplc="93CC6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4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544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01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63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28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4A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0C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84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1B9C7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8E5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2A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AF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8E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85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04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A08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914F5"/>
    <w:multiLevelType w:val="hybridMultilevel"/>
    <w:tmpl w:val="D6B0DFB8"/>
    <w:lvl w:ilvl="0" w:tplc="ECC49F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4EF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2A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EF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E2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2C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E4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6B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2A1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3C15"/>
    <w:multiLevelType w:val="hybridMultilevel"/>
    <w:tmpl w:val="4F329ABE"/>
    <w:lvl w:ilvl="0" w:tplc="2ACC2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28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4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4A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E3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C3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09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C2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BE9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E3F74"/>
    <w:multiLevelType w:val="hybridMultilevel"/>
    <w:tmpl w:val="067644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421A2"/>
    <w:multiLevelType w:val="hybridMultilevel"/>
    <w:tmpl w:val="12049CDC"/>
    <w:lvl w:ilvl="0" w:tplc="178481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618EE84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22A232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7AACCD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6A18973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0FE2B8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2622BBE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BEEDB24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8F85CD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633A0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20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A5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6B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CE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2B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4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270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42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155"/>
    <w:multiLevelType w:val="hybridMultilevel"/>
    <w:tmpl w:val="FC54E730"/>
    <w:lvl w:ilvl="0" w:tplc="E3A4B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C8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2C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62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CB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28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C4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C7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109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85C07"/>
    <w:multiLevelType w:val="hybridMultilevel"/>
    <w:tmpl w:val="6DD2760C"/>
    <w:lvl w:ilvl="0" w:tplc="5156E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6E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EC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46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EC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E6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67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E5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4CD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FD"/>
    <w:rsid w:val="00062E8D"/>
    <w:rsid w:val="0006653C"/>
    <w:rsid w:val="000977CD"/>
    <w:rsid w:val="000C7FA9"/>
    <w:rsid w:val="001B170F"/>
    <w:rsid w:val="001F5FDB"/>
    <w:rsid w:val="00232F40"/>
    <w:rsid w:val="0025187C"/>
    <w:rsid w:val="00267933"/>
    <w:rsid w:val="002979F5"/>
    <w:rsid w:val="002A2357"/>
    <w:rsid w:val="0052567D"/>
    <w:rsid w:val="00543209"/>
    <w:rsid w:val="006910DD"/>
    <w:rsid w:val="006B07E0"/>
    <w:rsid w:val="00752CA5"/>
    <w:rsid w:val="007D157E"/>
    <w:rsid w:val="007F15FB"/>
    <w:rsid w:val="0088001D"/>
    <w:rsid w:val="008811F7"/>
    <w:rsid w:val="00927DFD"/>
    <w:rsid w:val="009667F5"/>
    <w:rsid w:val="00997038"/>
    <w:rsid w:val="00A337F8"/>
    <w:rsid w:val="00B02C94"/>
    <w:rsid w:val="00B564B1"/>
    <w:rsid w:val="00BB31A5"/>
    <w:rsid w:val="00C92DB2"/>
    <w:rsid w:val="00D30592"/>
    <w:rsid w:val="00D52078"/>
    <w:rsid w:val="00DE034E"/>
    <w:rsid w:val="00E65655"/>
    <w:rsid w:val="00E94432"/>
    <w:rsid w:val="00FD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B56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8E4C-EAA6-47A0-85A2-3F935CC6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POLÍTICA DE GESTÃO DE CONTINUIDADE DE NEGÓCIOS</vt:lpstr>
      <vt:lpstr>POLÍTICA DE GESTÃO DE CONTINUIDADE DE NEGÓCIOS</vt:lpstr>
      <vt:lpstr>Politica_de_gestao_de_continuidade_de_negocios_PTBR</vt:lpstr>
    </vt:vector>
  </TitlesOfParts>
  <Company>EPPS Services Ltd</Company>
  <LinksUpToDate>false</LinksUpToDate>
  <CharactersWithSpaces>3098</CharactersWithSpaces>
  <SharedDoc>false</SharedDoc>
  <HLinks>
    <vt:vector size="66" baseType="variant"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_Toc297332546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_Toc297332545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_Toc297332544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_Toc297332543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_Toc297332542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_Toc297332541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_Toc297332540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_Toc297332539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_Toc297332538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continuidade de negócios</dc:title>
  <dc:creator>Dejan Kosutic</dc:creator>
  <dc:description>©2012 Este modelo pode ser usado por clientes da EPPS Services Ltd. www.iso27001standard.com de acordo com o Contrato de licença</dc:description>
  <cp:lastModifiedBy>korisnik</cp:lastModifiedBy>
  <cp:revision>4</cp:revision>
  <dcterms:created xsi:type="dcterms:W3CDTF">2012-05-25T08:30:00Z</dcterms:created>
  <dcterms:modified xsi:type="dcterms:W3CDTF">2012-05-27T21:15:00Z</dcterms:modified>
</cp:coreProperties>
</file>