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AF3E2" w14:textId="77777777" w:rsidR="00714DF4" w:rsidRDefault="006C5F06" w:rsidP="00714DF4">
      <w:pPr>
        <w:jc w:val="center"/>
      </w:pPr>
      <w:r>
        <w:rPr>
          <w:rStyle w:val="CommentReference"/>
        </w:rPr>
        <w:commentReference w:id="0"/>
      </w:r>
      <w:r w:rsidR="00714DF4">
        <w:t>** VERSÃO DE DEMONSTRAÇÃO **</w:t>
      </w:r>
    </w:p>
    <w:p w14:paraId="48022C5A" w14:textId="1B390A5C" w:rsidR="0057225B" w:rsidRPr="00ED1462" w:rsidRDefault="00714DF4" w:rsidP="00714DF4">
      <w:pPr>
        <w:jc w:val="center"/>
      </w:pPr>
      <w:r>
        <w:t>Obrigado por baixar a versão de visualização gratuita do Kit de documentação ISO 27001.</w:t>
      </w:r>
    </w:p>
    <w:p w14:paraId="48022C5B" w14:textId="77777777" w:rsidR="0057225B" w:rsidRPr="00ED1462" w:rsidRDefault="0057225B"/>
    <w:p w14:paraId="48022C5C" w14:textId="77777777" w:rsidR="0057225B" w:rsidRPr="00ED1462" w:rsidRDefault="0057225B"/>
    <w:p w14:paraId="48022C5D" w14:textId="77777777" w:rsidR="0057225B" w:rsidRPr="00ED1462" w:rsidRDefault="0057225B"/>
    <w:p w14:paraId="48022C5E" w14:textId="77777777" w:rsidR="0057225B" w:rsidRPr="00ED1462" w:rsidRDefault="0057225B"/>
    <w:p w14:paraId="48022C5F" w14:textId="77777777" w:rsidR="0057225B" w:rsidRPr="00ED1462" w:rsidRDefault="0057225B"/>
    <w:p w14:paraId="48022C60" w14:textId="1E786C61" w:rsidR="0057225B" w:rsidRPr="00ED1462" w:rsidRDefault="006C5F06" w:rsidP="0057225B">
      <w:pPr>
        <w:jc w:val="center"/>
      </w:pPr>
      <w:commentRangeStart w:id="1"/>
      <w:r w:rsidRPr="006C5F06">
        <w:rPr>
          <w:rFonts w:eastAsia="Times New Roman"/>
          <w:noProof/>
        </w:rPr>
        <w:t>[logotipo da organização]</w:t>
      </w:r>
      <w:commentRangeEnd w:id="1"/>
      <w:r w:rsidRPr="006C5F06">
        <w:rPr>
          <w:rFonts w:eastAsia="Times New Roman"/>
          <w:noProof/>
          <w:sz w:val="16"/>
          <w:szCs w:val="16"/>
        </w:rPr>
        <w:commentReference w:id="1"/>
      </w:r>
    </w:p>
    <w:p w14:paraId="48022C61" w14:textId="77777777" w:rsidR="0057225B" w:rsidRPr="00ED1462" w:rsidRDefault="0057225B" w:rsidP="0057225B">
      <w:pPr>
        <w:jc w:val="center"/>
      </w:pPr>
      <w:r w:rsidRPr="00ED1462">
        <w:t>[nome da organização]</w:t>
      </w:r>
    </w:p>
    <w:p w14:paraId="48022C62" w14:textId="77777777" w:rsidR="0057225B" w:rsidRPr="00ED1462" w:rsidRDefault="0057225B" w:rsidP="0057225B">
      <w:pPr>
        <w:jc w:val="center"/>
      </w:pPr>
    </w:p>
    <w:p w14:paraId="48022C63" w14:textId="77777777" w:rsidR="0057225B" w:rsidRPr="00ED1462" w:rsidRDefault="0057225B" w:rsidP="0057225B">
      <w:pPr>
        <w:jc w:val="center"/>
      </w:pPr>
    </w:p>
    <w:p w14:paraId="48022C64" w14:textId="71487C58" w:rsidR="0057225B" w:rsidRPr="00ED1462" w:rsidRDefault="006C5F06" w:rsidP="0057225B">
      <w:pPr>
        <w:jc w:val="center"/>
        <w:rPr>
          <w:b/>
          <w:sz w:val="32"/>
          <w:szCs w:val="32"/>
        </w:rPr>
      </w:pPr>
      <w:commentRangeStart w:id="2"/>
      <w:r w:rsidRPr="006C5F06">
        <w:rPr>
          <w:b/>
          <w:sz w:val="32"/>
        </w:rPr>
        <w:t>PROCEDIMENTO DE AÇÃO CORRETIVA</w:t>
      </w:r>
      <w:commentRangeEnd w:id="2"/>
      <w:r>
        <w:rPr>
          <w:rStyle w:val="CommentReference"/>
        </w:rPr>
        <w:commentReference w:id="2"/>
      </w:r>
    </w:p>
    <w:p w14:paraId="2E8AE5AC" w14:textId="77777777" w:rsidR="006C5F06" w:rsidRPr="006C5F06" w:rsidRDefault="006C5F06" w:rsidP="006C5F06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6C5F06" w:rsidRPr="006C5F06" w14:paraId="560AA13E" w14:textId="77777777" w:rsidTr="00995EA7">
        <w:trPr>
          <w:jc w:val="center"/>
        </w:trPr>
        <w:tc>
          <w:tcPr>
            <w:tcW w:w="2718" w:type="dxa"/>
            <w:vAlign w:val="center"/>
          </w:tcPr>
          <w:p w14:paraId="2199D080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6C5F06">
              <w:rPr>
                <w:rFonts w:eastAsia="Times New Roman"/>
              </w:rPr>
              <w:t>Código:</w:t>
            </w:r>
            <w:commentRangeEnd w:id="3"/>
            <w:r w:rsidR="00E7279D">
              <w:rPr>
                <w:rStyle w:val="CommentReference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24E09040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2B80D2E0" w14:textId="77777777" w:rsidTr="00995EA7">
        <w:trPr>
          <w:jc w:val="center"/>
        </w:trPr>
        <w:tc>
          <w:tcPr>
            <w:tcW w:w="2718" w:type="dxa"/>
            <w:vAlign w:val="center"/>
          </w:tcPr>
          <w:p w14:paraId="70D8B7FD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5175767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1F4291DA" w14:textId="77777777" w:rsidTr="00995EA7">
        <w:trPr>
          <w:jc w:val="center"/>
        </w:trPr>
        <w:tc>
          <w:tcPr>
            <w:tcW w:w="2718" w:type="dxa"/>
            <w:vAlign w:val="center"/>
          </w:tcPr>
          <w:p w14:paraId="0826A7A8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4DFA880F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485ACEDB" w14:textId="77777777" w:rsidTr="00995EA7">
        <w:trPr>
          <w:jc w:val="center"/>
        </w:trPr>
        <w:tc>
          <w:tcPr>
            <w:tcW w:w="2718" w:type="dxa"/>
            <w:vAlign w:val="center"/>
          </w:tcPr>
          <w:p w14:paraId="57E208F9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157F1BD1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26B9AA9C" w14:textId="77777777" w:rsidTr="00995EA7">
        <w:trPr>
          <w:jc w:val="center"/>
        </w:trPr>
        <w:tc>
          <w:tcPr>
            <w:tcW w:w="2718" w:type="dxa"/>
            <w:vAlign w:val="center"/>
          </w:tcPr>
          <w:p w14:paraId="5EBE8EA9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4F73C0D6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62C8EADF" w14:textId="77777777" w:rsidTr="00995EA7">
        <w:trPr>
          <w:jc w:val="center"/>
        </w:trPr>
        <w:tc>
          <w:tcPr>
            <w:tcW w:w="2718" w:type="dxa"/>
            <w:vAlign w:val="center"/>
          </w:tcPr>
          <w:p w14:paraId="3BD2E67C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24E0E549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0E7668B" w14:textId="77777777" w:rsidR="006C5F06" w:rsidRPr="006C5F06" w:rsidRDefault="006C5F06" w:rsidP="006C5F06">
      <w:pPr>
        <w:rPr>
          <w:rFonts w:eastAsia="Times New Roman"/>
        </w:rPr>
      </w:pPr>
    </w:p>
    <w:p w14:paraId="5855D429" w14:textId="77777777" w:rsidR="006C5F06" w:rsidRPr="006C5F06" w:rsidRDefault="006C5F06" w:rsidP="006C5F06">
      <w:pPr>
        <w:rPr>
          <w:rFonts w:eastAsia="Times New Roman"/>
        </w:rPr>
      </w:pPr>
    </w:p>
    <w:p w14:paraId="6FB917C9" w14:textId="77777777" w:rsidR="006C5F06" w:rsidRPr="006C5F06" w:rsidRDefault="006C5F06" w:rsidP="006C5F06">
      <w:pPr>
        <w:rPr>
          <w:rFonts w:eastAsia="Times New Roman"/>
          <w:b/>
          <w:sz w:val="28"/>
          <w:szCs w:val="28"/>
        </w:rPr>
      </w:pPr>
      <w:r w:rsidRPr="006C5F06">
        <w:rPr>
          <w:rFonts w:eastAsia="Times New Roman"/>
          <w:b/>
          <w:sz w:val="28"/>
        </w:rPr>
        <w:br w:type="page"/>
      </w:r>
      <w:r w:rsidRPr="006C5F06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C5F06" w:rsidRPr="006C5F06" w14:paraId="3CF94DF7" w14:textId="77777777" w:rsidTr="00995EA7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2AD273A1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6C5F0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66AAB9D5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6C5F0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EA8121F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6C5F0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0CBFEC3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6C5F06">
              <w:rPr>
                <w:rFonts w:eastAsia="Times New Roman"/>
                <w:b/>
              </w:rPr>
              <w:t>Descrição da alteração</w:t>
            </w:r>
          </w:p>
        </w:tc>
      </w:tr>
      <w:tr w:rsidR="006C5F06" w:rsidRPr="006C5F06" w14:paraId="70777678" w14:textId="77777777" w:rsidTr="00995EA7">
        <w:trPr>
          <w:jc w:val="center"/>
        </w:trPr>
        <w:tc>
          <w:tcPr>
            <w:tcW w:w="1384" w:type="dxa"/>
            <w:vAlign w:val="center"/>
          </w:tcPr>
          <w:p w14:paraId="4330CF60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907D20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3C1D1A01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437B68FC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6C5F06">
              <w:rPr>
                <w:rFonts w:eastAsia="Times New Roman"/>
              </w:rPr>
              <w:t>Esboço básico do documento</w:t>
            </w:r>
          </w:p>
        </w:tc>
      </w:tr>
      <w:tr w:rsidR="006C5F06" w:rsidRPr="006C5F06" w14:paraId="384FBCCF" w14:textId="77777777" w:rsidTr="00995EA7">
        <w:trPr>
          <w:jc w:val="center"/>
        </w:trPr>
        <w:tc>
          <w:tcPr>
            <w:tcW w:w="1384" w:type="dxa"/>
            <w:vAlign w:val="center"/>
          </w:tcPr>
          <w:p w14:paraId="3208BB27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008DD4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44DBC81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5458D6F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2D7C2D59" w14:textId="77777777" w:rsidTr="00995EA7">
        <w:trPr>
          <w:jc w:val="center"/>
        </w:trPr>
        <w:tc>
          <w:tcPr>
            <w:tcW w:w="1384" w:type="dxa"/>
            <w:vAlign w:val="center"/>
          </w:tcPr>
          <w:p w14:paraId="660B10BD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8DFDB3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F4A8A1A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A0EB9F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53B0EDB0" w14:textId="77777777" w:rsidTr="00995EA7">
        <w:trPr>
          <w:jc w:val="center"/>
        </w:trPr>
        <w:tc>
          <w:tcPr>
            <w:tcW w:w="1384" w:type="dxa"/>
            <w:vAlign w:val="center"/>
          </w:tcPr>
          <w:p w14:paraId="0FE4691B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8A0E602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A4B337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C7C32AD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409193AF" w14:textId="77777777" w:rsidTr="00995EA7">
        <w:trPr>
          <w:jc w:val="center"/>
        </w:trPr>
        <w:tc>
          <w:tcPr>
            <w:tcW w:w="1384" w:type="dxa"/>
            <w:vAlign w:val="center"/>
          </w:tcPr>
          <w:p w14:paraId="459B66C8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5C2EB6F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CEE6ED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97DF7A1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3D272AC7" w14:textId="77777777" w:rsidTr="00995EA7">
        <w:trPr>
          <w:jc w:val="center"/>
        </w:trPr>
        <w:tc>
          <w:tcPr>
            <w:tcW w:w="1384" w:type="dxa"/>
            <w:vAlign w:val="center"/>
          </w:tcPr>
          <w:p w14:paraId="2BDB8342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F4736EC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A12BB34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A4679A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6C5F06" w14:paraId="1C564A9C" w14:textId="77777777" w:rsidTr="00995EA7">
        <w:trPr>
          <w:jc w:val="center"/>
        </w:trPr>
        <w:tc>
          <w:tcPr>
            <w:tcW w:w="1384" w:type="dxa"/>
            <w:vAlign w:val="center"/>
          </w:tcPr>
          <w:p w14:paraId="22A0F819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5AAED3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5F1A306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2081D3B" w14:textId="77777777" w:rsidR="006C5F06" w:rsidRPr="006C5F06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57904E9" w14:textId="77777777" w:rsidR="006C5F06" w:rsidRPr="006C5F06" w:rsidRDefault="006C5F06" w:rsidP="006C5F06">
      <w:pPr>
        <w:rPr>
          <w:rFonts w:eastAsia="Times New Roman"/>
        </w:rPr>
      </w:pPr>
    </w:p>
    <w:p w14:paraId="7EBE27FF" w14:textId="77777777" w:rsidR="006C5F06" w:rsidRPr="006C5F06" w:rsidRDefault="006C5F06" w:rsidP="006C5F06">
      <w:pPr>
        <w:rPr>
          <w:rFonts w:eastAsia="Times New Roman"/>
        </w:rPr>
      </w:pPr>
    </w:p>
    <w:p w14:paraId="48022CA5" w14:textId="60115B2B" w:rsidR="0057225B" w:rsidRPr="00ED1462" w:rsidRDefault="006C5F06" w:rsidP="006C5F06">
      <w:pPr>
        <w:rPr>
          <w:b/>
          <w:sz w:val="28"/>
          <w:szCs w:val="28"/>
        </w:rPr>
      </w:pPr>
      <w:r w:rsidRPr="006C5F06">
        <w:rPr>
          <w:rFonts w:eastAsia="Times New Roman"/>
          <w:b/>
          <w:sz w:val="28"/>
        </w:rPr>
        <w:t>Sumário</w:t>
      </w:r>
    </w:p>
    <w:p w14:paraId="65AE3080" w14:textId="77777777" w:rsidR="000359BB" w:rsidRDefault="003455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D1462">
        <w:fldChar w:fldCharType="begin"/>
      </w:r>
      <w:r w:rsidR="0057225B" w:rsidRPr="00ED1462">
        <w:instrText xml:space="preserve"> TOC \o "1-3" \h \z \u </w:instrText>
      </w:r>
      <w:r w:rsidRPr="00ED1462">
        <w:fldChar w:fldCharType="separate"/>
      </w:r>
      <w:hyperlink w:anchor="_Toc416796193" w:history="1">
        <w:r w:rsidR="000359BB" w:rsidRPr="00695B40">
          <w:rPr>
            <w:rStyle w:val="Hyperlink"/>
            <w:noProof/>
            <w:lang w:val="pt-BR"/>
          </w:rPr>
          <w:t>1.</w:t>
        </w:r>
        <w:r w:rsidR="000359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Finalidade, escopo e usuários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_Toc416796193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3</w:t>
        </w:r>
        <w:r w:rsidR="000359BB">
          <w:rPr>
            <w:noProof/>
            <w:webHidden/>
          </w:rPr>
          <w:fldChar w:fldCharType="end"/>
        </w:r>
      </w:hyperlink>
    </w:p>
    <w:p w14:paraId="66878E24" w14:textId="77777777" w:rsidR="000359BB" w:rsidRDefault="00B71B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96194" w:history="1">
        <w:r w:rsidR="000359BB" w:rsidRPr="00695B40">
          <w:rPr>
            <w:rStyle w:val="Hyperlink"/>
            <w:noProof/>
            <w:lang w:val="pt-BR"/>
          </w:rPr>
          <w:t>2.</w:t>
        </w:r>
        <w:r w:rsidR="000359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Documentos de referência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_Toc416796194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3</w:t>
        </w:r>
        <w:r w:rsidR="000359BB">
          <w:rPr>
            <w:noProof/>
            <w:webHidden/>
          </w:rPr>
          <w:fldChar w:fldCharType="end"/>
        </w:r>
      </w:hyperlink>
    </w:p>
    <w:p w14:paraId="7964EDA4" w14:textId="77777777" w:rsidR="000359BB" w:rsidRDefault="00B71B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96195" w:history="1">
        <w:r w:rsidR="000359BB" w:rsidRPr="00695B40">
          <w:rPr>
            <w:rStyle w:val="Hyperlink"/>
            <w:noProof/>
            <w:lang w:val="pt-BR"/>
          </w:rPr>
          <w:t>3.</w:t>
        </w:r>
        <w:r w:rsidR="000359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Correções e ações corretivas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_Toc416796195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3</w:t>
        </w:r>
        <w:r w:rsidR="000359BB">
          <w:rPr>
            <w:noProof/>
            <w:webHidden/>
          </w:rPr>
          <w:fldChar w:fldCharType="end"/>
        </w:r>
      </w:hyperlink>
    </w:p>
    <w:p w14:paraId="2FFDA25E" w14:textId="77777777" w:rsidR="000359BB" w:rsidRDefault="00B71B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16796196" w:history="1">
        <w:r w:rsidR="000359BB" w:rsidRPr="00695B40">
          <w:rPr>
            <w:rStyle w:val="Hyperlink"/>
            <w:noProof/>
            <w:lang w:val="pt-BR"/>
          </w:rPr>
          <w:t>3.1.</w:t>
        </w:r>
        <w:r w:rsidR="000359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Não conformidades e correções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_Toc416796196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3</w:t>
        </w:r>
        <w:r w:rsidR="000359BB">
          <w:rPr>
            <w:noProof/>
            <w:webHidden/>
          </w:rPr>
          <w:fldChar w:fldCharType="end"/>
        </w:r>
      </w:hyperlink>
    </w:p>
    <w:p w14:paraId="304AB84E" w14:textId="77777777" w:rsidR="000359BB" w:rsidRDefault="00B71B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16796197" w:history="1">
        <w:r w:rsidR="000359BB" w:rsidRPr="00695B40">
          <w:rPr>
            <w:rStyle w:val="Hyperlink"/>
            <w:noProof/>
            <w:lang w:val="pt-BR"/>
          </w:rPr>
          <w:t>3.2.</w:t>
        </w:r>
        <w:r w:rsidR="000359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Ações corretivas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_Toc416796197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3</w:t>
        </w:r>
        <w:r w:rsidR="000359BB">
          <w:rPr>
            <w:noProof/>
            <w:webHidden/>
          </w:rPr>
          <w:fldChar w:fldCharType="end"/>
        </w:r>
      </w:hyperlink>
    </w:p>
    <w:p w14:paraId="3D8D5F1A" w14:textId="77777777" w:rsidR="000359BB" w:rsidRDefault="00B71B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16796198" w:history="1">
        <w:r w:rsidR="000359BB" w:rsidRPr="00695B40">
          <w:rPr>
            <w:rStyle w:val="Hyperlink"/>
            <w:noProof/>
            <w:lang w:val="pt-BR"/>
          </w:rPr>
          <w:t>3.3.</w:t>
        </w:r>
        <w:r w:rsidR="000359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Implementação de ações corretivas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_Toc416796198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3</w:t>
        </w:r>
        <w:r w:rsidR="000359BB">
          <w:rPr>
            <w:noProof/>
            <w:webHidden/>
          </w:rPr>
          <w:fldChar w:fldCharType="end"/>
        </w:r>
      </w:hyperlink>
    </w:p>
    <w:p w14:paraId="73864F52" w14:textId="77777777" w:rsidR="000359BB" w:rsidRDefault="00B71B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96199" w:history="1">
        <w:r w:rsidR="000359BB" w:rsidRPr="00695B40">
          <w:rPr>
            <w:rStyle w:val="Hyperlink"/>
            <w:noProof/>
            <w:lang w:val="pt-BR"/>
          </w:rPr>
          <w:t>4.</w:t>
        </w:r>
        <w:r w:rsidR="000359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Gestão de registros mantidos de acordo com este documento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_Toc416796199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4</w:t>
        </w:r>
        <w:r w:rsidR="000359BB">
          <w:rPr>
            <w:noProof/>
            <w:webHidden/>
          </w:rPr>
          <w:fldChar w:fldCharType="end"/>
        </w:r>
      </w:hyperlink>
    </w:p>
    <w:p w14:paraId="029DE5B1" w14:textId="77777777" w:rsidR="000359BB" w:rsidRDefault="00B71B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96200" w:history="1">
        <w:r w:rsidR="000359BB" w:rsidRPr="00695B40">
          <w:rPr>
            <w:rStyle w:val="Hyperlink"/>
            <w:noProof/>
            <w:lang w:val="pt-BR"/>
          </w:rPr>
          <w:t>5.</w:t>
        </w:r>
        <w:r w:rsidR="000359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Validade e gestão de documentos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_Toc416796200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5</w:t>
        </w:r>
        <w:r w:rsidR="000359BB">
          <w:rPr>
            <w:noProof/>
            <w:webHidden/>
          </w:rPr>
          <w:fldChar w:fldCharType="end"/>
        </w:r>
      </w:hyperlink>
    </w:p>
    <w:p w14:paraId="7E81762A" w14:textId="77777777" w:rsidR="000359BB" w:rsidRDefault="00B71B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96201" w:history="1">
        <w:r w:rsidR="000359BB" w:rsidRPr="00695B40">
          <w:rPr>
            <w:rStyle w:val="Hyperlink"/>
            <w:noProof/>
            <w:lang w:val="pt-BR"/>
          </w:rPr>
          <w:t>6.</w:t>
        </w:r>
        <w:r w:rsidR="000359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359BB" w:rsidRPr="00695B40">
          <w:rPr>
            <w:rStyle w:val="Hyperlink"/>
            <w:noProof/>
            <w:lang w:val="pt-BR"/>
          </w:rPr>
          <w:t>Anexo</w:t>
        </w:r>
        <w:r w:rsidR="000359BB">
          <w:rPr>
            <w:noProof/>
            <w:webHidden/>
          </w:rPr>
          <w:tab/>
        </w:r>
        <w:r w:rsidR="000359BB">
          <w:rPr>
            <w:noProof/>
            <w:webHidden/>
          </w:rPr>
          <w:fldChar w:fldCharType="begin"/>
        </w:r>
        <w:r w:rsidR="000359BB">
          <w:rPr>
            <w:noProof/>
            <w:webHidden/>
          </w:rPr>
          <w:instrText xml:space="preserve"> PAGEREF _Toc416796201 \h </w:instrText>
        </w:r>
        <w:r w:rsidR="000359BB">
          <w:rPr>
            <w:noProof/>
            <w:webHidden/>
          </w:rPr>
        </w:r>
        <w:r w:rsidR="000359BB">
          <w:rPr>
            <w:noProof/>
            <w:webHidden/>
          </w:rPr>
          <w:fldChar w:fldCharType="separate"/>
        </w:r>
        <w:r w:rsidR="000359BB">
          <w:rPr>
            <w:noProof/>
            <w:webHidden/>
          </w:rPr>
          <w:t>5</w:t>
        </w:r>
        <w:r w:rsidR="000359BB">
          <w:rPr>
            <w:noProof/>
            <w:webHidden/>
          </w:rPr>
          <w:fldChar w:fldCharType="end"/>
        </w:r>
      </w:hyperlink>
    </w:p>
    <w:p w14:paraId="48022CAF" w14:textId="77777777" w:rsidR="0057225B" w:rsidRPr="00ED1462" w:rsidRDefault="0034556F">
      <w:pPr>
        <w:pStyle w:val="TOC1"/>
        <w:tabs>
          <w:tab w:val="left" w:pos="440"/>
          <w:tab w:val="right" w:leader="dot" w:pos="9062"/>
        </w:tabs>
      </w:pPr>
      <w:r w:rsidRPr="00ED1462">
        <w:fldChar w:fldCharType="end"/>
      </w:r>
    </w:p>
    <w:p w14:paraId="48022CB4" w14:textId="77777777" w:rsidR="0057225B" w:rsidRPr="00ED1462" w:rsidRDefault="0057225B" w:rsidP="0057225B">
      <w:pPr>
        <w:pStyle w:val="Heading1"/>
      </w:pPr>
      <w:r w:rsidRPr="00ED1462">
        <w:br w:type="page"/>
      </w:r>
      <w:bookmarkStart w:id="4" w:name="_Toc266709603"/>
      <w:bookmarkStart w:id="5" w:name="_Toc267400674"/>
      <w:bookmarkStart w:id="6" w:name="_Toc416796193"/>
      <w:r w:rsidRPr="00ED1462">
        <w:t xml:space="preserve">Finalidade, </w:t>
      </w:r>
      <w:r w:rsidR="00D9584B" w:rsidRPr="00ED1462">
        <w:t>escopo</w:t>
      </w:r>
      <w:r w:rsidRPr="00ED1462">
        <w:t xml:space="preserve"> e usuários</w:t>
      </w:r>
      <w:bookmarkEnd w:id="4"/>
      <w:bookmarkEnd w:id="5"/>
      <w:bookmarkEnd w:id="6"/>
    </w:p>
    <w:p w14:paraId="48022CB5" w14:textId="42539380" w:rsidR="0057225B" w:rsidRPr="00ED1462" w:rsidRDefault="0057225B" w:rsidP="006C5F06">
      <w:r w:rsidRPr="00ED1462">
        <w:t>A finalidade desde procedimento é descrever todas as atividades relacionadas à iniciação, implementação e manutenção dos registros</w:t>
      </w:r>
      <w:r w:rsidR="00A70663" w:rsidRPr="00ED1462">
        <w:t xml:space="preserve"> de correções</w:t>
      </w:r>
      <w:r w:rsidR="006C5F06">
        <w:t xml:space="preserve"> e</w:t>
      </w:r>
      <w:r w:rsidR="00A70663" w:rsidRPr="00ED1462">
        <w:t xml:space="preserve"> </w:t>
      </w:r>
      <w:r w:rsidRPr="00ED1462">
        <w:t>ações corretivas.</w:t>
      </w:r>
    </w:p>
    <w:p w14:paraId="48022CB6" w14:textId="6101B34C" w:rsidR="0057225B" w:rsidRPr="00ED1462" w:rsidRDefault="0057225B" w:rsidP="0057225B">
      <w:r w:rsidRPr="00ED1462">
        <w:t xml:space="preserve">Este procedimento aplica-se a todas as atividades implementadas no </w:t>
      </w:r>
      <w:r w:rsidR="006C5F06" w:rsidRPr="006C5F06">
        <w:t>Sistema de Gestão da Segurança da Informação (SGSI)</w:t>
      </w:r>
      <w:r w:rsidR="004364E6">
        <w:t>.</w:t>
      </w:r>
    </w:p>
    <w:p w14:paraId="48022CB7" w14:textId="28CB7CFE" w:rsidR="0057225B" w:rsidRPr="00ED1462" w:rsidRDefault="006C5F06" w:rsidP="0057225B">
      <w:r w:rsidRPr="006C5F06">
        <w:rPr>
          <w:rFonts w:eastAsia="Times New Roman"/>
          <w:noProof/>
        </w:rPr>
        <w:t xml:space="preserve">Os usuários deste documento são todos os funcionários da </w:t>
      </w:r>
      <w:commentRangeStart w:id="7"/>
      <w:r w:rsidRPr="006C5F06">
        <w:rPr>
          <w:rFonts w:eastAsia="Times New Roman"/>
          <w:noProof/>
        </w:rPr>
        <w:t>[nome da organização]</w:t>
      </w:r>
      <w:commentRangeEnd w:id="7"/>
      <w:r w:rsidRPr="006C5F06">
        <w:rPr>
          <w:rFonts w:eastAsia="Times New Roman"/>
          <w:noProof/>
          <w:sz w:val="16"/>
          <w:szCs w:val="16"/>
        </w:rPr>
        <w:commentReference w:id="7"/>
      </w:r>
      <w:r w:rsidRPr="006C5F06">
        <w:rPr>
          <w:rFonts w:eastAsia="Times New Roman"/>
          <w:noProof/>
        </w:rPr>
        <w:t>.</w:t>
      </w:r>
    </w:p>
    <w:p w14:paraId="48022CB8" w14:textId="77777777" w:rsidR="0057225B" w:rsidRPr="00ED1462" w:rsidRDefault="0057225B" w:rsidP="0057225B"/>
    <w:p w14:paraId="48022CB9" w14:textId="77777777" w:rsidR="0057225B" w:rsidRPr="00ED1462" w:rsidRDefault="0057225B" w:rsidP="0057225B">
      <w:pPr>
        <w:pStyle w:val="Heading1"/>
      </w:pPr>
      <w:bookmarkStart w:id="8" w:name="_Toc266709604"/>
      <w:bookmarkStart w:id="9" w:name="_Toc267400675"/>
      <w:bookmarkStart w:id="10" w:name="_Toc416796194"/>
      <w:r w:rsidRPr="00ED1462">
        <w:t>Documentos de referência</w:t>
      </w:r>
      <w:bookmarkEnd w:id="8"/>
      <w:bookmarkEnd w:id="9"/>
      <w:bookmarkEnd w:id="10"/>
    </w:p>
    <w:p w14:paraId="48022CBA" w14:textId="5EFFB4C3" w:rsidR="0014148D" w:rsidRDefault="0057225B" w:rsidP="0057225B">
      <w:pPr>
        <w:numPr>
          <w:ilvl w:val="0"/>
          <w:numId w:val="4"/>
        </w:numPr>
        <w:spacing w:after="0"/>
      </w:pPr>
      <w:r w:rsidRPr="00ED1462">
        <w:t>Norma ISO/IEC 27001, cláusula</w:t>
      </w:r>
      <w:r w:rsidR="006C5F06">
        <w:t>s</w:t>
      </w:r>
      <w:r w:rsidR="0014148D">
        <w:t xml:space="preserve"> </w:t>
      </w:r>
      <w:r w:rsidR="00DE4D39" w:rsidRPr="00ED1462">
        <w:t>10.</w:t>
      </w:r>
      <w:r w:rsidR="0051040A">
        <w:t>1 e A.5.27</w:t>
      </w:r>
    </w:p>
    <w:p w14:paraId="48022CBE" w14:textId="5A68DBB5" w:rsidR="0057225B" w:rsidRPr="001E5C84" w:rsidRDefault="00691CA5" w:rsidP="001E5C84">
      <w:pPr>
        <w:numPr>
          <w:ilvl w:val="0"/>
          <w:numId w:val="4"/>
        </w:numPr>
        <w:spacing w:after="0"/>
      </w:pPr>
      <w:commentRangeStart w:id="11"/>
      <w:r w:rsidRPr="00ED1462">
        <w:t>Política da segurança da informação</w:t>
      </w:r>
      <w:commentRangeEnd w:id="11"/>
      <w:r w:rsidR="006C5F06">
        <w:rPr>
          <w:rStyle w:val="CommentReference"/>
        </w:rPr>
        <w:commentReference w:id="11"/>
      </w:r>
    </w:p>
    <w:p w14:paraId="469967AE" w14:textId="2F5235FE" w:rsidR="00C11090" w:rsidRPr="00565AF7" w:rsidRDefault="007575E9" w:rsidP="00C11090">
      <w:pPr>
        <w:numPr>
          <w:ilvl w:val="0"/>
          <w:numId w:val="4"/>
        </w:numPr>
        <w:spacing w:after="0"/>
        <w:rPr>
          <w:lang w:val="en-US"/>
        </w:rPr>
      </w:pPr>
      <w:commentRangeStart w:id="12"/>
      <w:r w:rsidRPr="00ED1462">
        <w:t>Procedimento de auditoria interna</w:t>
      </w:r>
      <w:commentRangeEnd w:id="12"/>
      <w:r w:rsidR="006C5F06">
        <w:rPr>
          <w:rStyle w:val="CommentReference"/>
        </w:rPr>
        <w:commentReference w:id="12"/>
      </w:r>
    </w:p>
    <w:p w14:paraId="539EA92F" w14:textId="03C18A8C" w:rsidR="00C11090" w:rsidRPr="00F71DC7" w:rsidRDefault="00F71DC7" w:rsidP="0057225B">
      <w:pPr>
        <w:numPr>
          <w:ilvl w:val="0"/>
          <w:numId w:val="4"/>
        </w:numPr>
        <w:spacing w:after="0"/>
      </w:pPr>
      <w:commentRangeStart w:id="13"/>
      <w:r w:rsidRPr="00ED1462">
        <w:t>Procedimento de gestão de incidentes</w:t>
      </w:r>
      <w:commentRangeEnd w:id="13"/>
      <w:r w:rsidR="006C5F06">
        <w:rPr>
          <w:rStyle w:val="CommentReference"/>
        </w:rPr>
        <w:commentReference w:id="13"/>
      </w:r>
    </w:p>
    <w:p w14:paraId="48022CC1" w14:textId="77777777" w:rsidR="0057225B" w:rsidRPr="00ED1462" w:rsidRDefault="0057225B" w:rsidP="00EB643F">
      <w:pPr>
        <w:spacing w:before="240"/>
      </w:pPr>
    </w:p>
    <w:p w14:paraId="48022CC2" w14:textId="77777777" w:rsidR="0057225B" w:rsidRPr="00ED1462" w:rsidRDefault="00A70663" w:rsidP="0057225B">
      <w:pPr>
        <w:pStyle w:val="Heading1"/>
      </w:pPr>
      <w:bookmarkStart w:id="14" w:name="_Toc266709605"/>
      <w:bookmarkStart w:id="15" w:name="_Toc267400676"/>
      <w:bookmarkStart w:id="16" w:name="_Toc416796195"/>
      <w:r w:rsidRPr="00ED1462">
        <w:t>Correções e ações corretivas</w:t>
      </w:r>
      <w:bookmarkEnd w:id="14"/>
      <w:bookmarkEnd w:id="15"/>
      <w:bookmarkEnd w:id="16"/>
    </w:p>
    <w:p w14:paraId="48022CC3" w14:textId="77777777" w:rsidR="00EC7A96" w:rsidRPr="00ED1462" w:rsidRDefault="00EC7A96" w:rsidP="00EC7A96">
      <w:pPr>
        <w:pStyle w:val="Heading2"/>
      </w:pPr>
      <w:bookmarkStart w:id="17" w:name="_Toc416796196"/>
      <w:r w:rsidRPr="00ED1462">
        <w:t>Não conformidades e correções</w:t>
      </w:r>
      <w:bookmarkEnd w:id="17"/>
    </w:p>
    <w:p w14:paraId="48022CC4" w14:textId="77777777" w:rsidR="00EC7A96" w:rsidRPr="00ED1462" w:rsidRDefault="00EC7A96" w:rsidP="00EC7A96">
      <w:r w:rsidRPr="00ED1462">
        <w:t>Uma não conformidade</w:t>
      </w:r>
      <w:r w:rsidR="007C2039" w:rsidRPr="00ED1462">
        <w:t xml:space="preserve"> é qualquer falha em atender os requisitos dos padrões, documentações internas, regulamentações, contratos e outras obrigações dentro do</w:t>
      </w:r>
      <w:r w:rsidRPr="00ED1462">
        <w:t xml:space="preserve"> S</w:t>
      </w:r>
      <w:r w:rsidR="007C2039" w:rsidRPr="00ED1462">
        <w:t>GSI</w:t>
      </w:r>
      <w:r w:rsidRPr="00ED1462">
        <w:t>. N</w:t>
      </w:r>
      <w:r w:rsidR="007C2039" w:rsidRPr="00ED1462">
        <w:t>ão conformidades podem ser identificadas durante uma auditoria interna ou externa, com base na revisão de gestão, após incidentes, durante operações de negócio normais ou em qualquer outra ocasião</w:t>
      </w:r>
      <w:r w:rsidRPr="00ED1462">
        <w:t>.</w:t>
      </w:r>
    </w:p>
    <w:p w14:paraId="48022CC5" w14:textId="77777777" w:rsidR="00EC7A96" w:rsidRPr="00ED1462" w:rsidRDefault="007C2039" w:rsidP="00EC7A96">
      <w:r w:rsidRPr="00ED1462">
        <w:t>Um funcionário que nota uma não conformidade deve agir imediatamente para control</w:t>
      </w:r>
      <w:r w:rsidR="00257D53" w:rsidRPr="00ED1462">
        <w:t>ar, conter e corrigi-la</w:t>
      </w:r>
      <w:r w:rsidR="00EC7A96" w:rsidRPr="00ED1462">
        <w:t xml:space="preserve">, </w:t>
      </w:r>
      <w:r w:rsidR="00257D53" w:rsidRPr="00ED1462">
        <w:t>e para lidar com suas consequências</w:t>
      </w:r>
      <w:r w:rsidR="00EC7A96" w:rsidRPr="00ED1462">
        <w:t xml:space="preserve">; </w:t>
      </w:r>
      <w:r w:rsidR="00257D53" w:rsidRPr="00ED1462">
        <w:t>se um funcionário não for responsável por tal não conformidade ele/ela deve enviar informações da não conformidade para a pessoa responsável que precisa realizar a correção</w:t>
      </w:r>
      <w:r w:rsidR="00EC7A96" w:rsidRPr="00ED1462">
        <w:t>.</w:t>
      </w:r>
    </w:p>
    <w:p w14:paraId="48022CC6" w14:textId="77777777" w:rsidR="0057225B" w:rsidRPr="00ED1462" w:rsidRDefault="006D1E08" w:rsidP="0057225B">
      <w:pPr>
        <w:pStyle w:val="Heading2"/>
      </w:pPr>
      <w:bookmarkStart w:id="18" w:name="_Toc416796197"/>
      <w:r w:rsidRPr="00ED1462">
        <w:t>Ações corretivas</w:t>
      </w:r>
      <w:bookmarkEnd w:id="18"/>
    </w:p>
    <w:p w14:paraId="48022CC7" w14:textId="4042A714" w:rsidR="006D1E08" w:rsidRDefault="006D1E08" w:rsidP="006D1E08">
      <w:r w:rsidRPr="00ED1462">
        <w:t>A pessoa responsável deve avaliar a necessidade de eliminar a causa da não conformidade e impedir sua recorrência tomando ações corretivas.</w:t>
      </w:r>
      <w:r w:rsidR="00DE4D39" w:rsidRPr="00ED1462">
        <w:t xml:space="preserve"> As principais diferenças é que as ações corretivas eliminam a causa de uma n</w:t>
      </w:r>
      <w:r w:rsidR="00493711" w:rsidRPr="00ED1462">
        <w:t>ão</w:t>
      </w:r>
      <w:r w:rsidR="00DE4D39" w:rsidRPr="00ED1462">
        <w:t xml:space="preserve"> conformidade, enquanto a correção foca somente no controle da não conformidade e trata das </w:t>
      </w:r>
      <w:r w:rsidR="00EA00E1" w:rsidRPr="00ED1462">
        <w:t>consequências</w:t>
      </w:r>
      <w:r w:rsidR="00DE4D39" w:rsidRPr="00ED1462">
        <w:t xml:space="preserve"> diretas.</w:t>
      </w:r>
    </w:p>
    <w:p w14:paraId="604B1E7F" w14:textId="4277F06E" w:rsidR="00714DF4" w:rsidRDefault="00714DF4" w:rsidP="006D1E08">
      <w:r>
        <w:t>...</w:t>
      </w:r>
    </w:p>
    <w:p w14:paraId="6992C5DC" w14:textId="77777777" w:rsidR="00714DF4" w:rsidRDefault="00714DF4" w:rsidP="00714DF4">
      <w:pPr>
        <w:jc w:val="center"/>
      </w:pPr>
      <w:r>
        <w:t>** FIM DA DEMONSTRAÇÃO **</w:t>
      </w:r>
    </w:p>
    <w:p w14:paraId="3EBD81C8" w14:textId="77777777" w:rsidR="00714DF4" w:rsidRDefault="00714DF4" w:rsidP="00714DF4">
      <w:r>
        <w:t>Se você decidiu que o Kit de Documentação ISO 27001 é a escolha certa para sua empresa, consulte a tabela abaixo para escolher o kit com o nível de suporte especializado necessário.</w:t>
      </w:r>
    </w:p>
    <w:p w14:paraId="0E4F90D1" w14:textId="77777777" w:rsidR="00714DF4" w:rsidRDefault="00714DF4" w:rsidP="006D1E0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14DF4" w:rsidRPr="00336B59" w14:paraId="65EB8A79" w14:textId="77777777" w:rsidTr="00284AA5">
        <w:tc>
          <w:tcPr>
            <w:tcW w:w="3150" w:type="dxa"/>
            <w:vAlign w:val="center"/>
          </w:tcPr>
          <w:p w14:paraId="0AEAA383" w14:textId="77777777" w:rsidR="00714DF4" w:rsidRPr="00336B59" w:rsidRDefault="00714DF4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68F8FF6" w14:textId="77777777" w:rsidR="00714DF4" w:rsidRPr="00336B59" w:rsidRDefault="00714DF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C92B320" w14:textId="77777777" w:rsidR="00714DF4" w:rsidRPr="00336B59" w:rsidRDefault="00714DF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2EE958A" w14:textId="77777777" w:rsidR="00714DF4" w:rsidRPr="00336B59" w:rsidRDefault="00714DF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14DF4" w:rsidRPr="00336B59" w14:paraId="404AC079" w14:textId="77777777" w:rsidTr="00284AA5">
        <w:tc>
          <w:tcPr>
            <w:tcW w:w="3150" w:type="dxa"/>
            <w:vAlign w:val="center"/>
          </w:tcPr>
          <w:p w14:paraId="182C3EC4" w14:textId="77777777" w:rsidR="00714DF4" w:rsidRPr="00336B59" w:rsidRDefault="00714DF4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470B3E0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2B18DF1" w14:textId="4C472D83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1F72D6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09F09E1" w14:textId="6C5990A2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1F72D6">
              <w:rPr>
                <w:b/>
                <w:sz w:val="36"/>
                <w:szCs w:val="36"/>
              </w:rPr>
              <w:t>23</w:t>
            </w:r>
            <w:bookmarkStart w:id="19" w:name="_GoBack"/>
            <w:bookmarkEnd w:id="19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14DF4" w:rsidRPr="00336B59" w14:paraId="56FD127D" w14:textId="77777777" w:rsidTr="00284AA5">
        <w:tc>
          <w:tcPr>
            <w:tcW w:w="3150" w:type="dxa"/>
            <w:shd w:val="clear" w:color="auto" w:fill="F2F2F2"/>
            <w:vAlign w:val="center"/>
          </w:tcPr>
          <w:p w14:paraId="0EC6C398" w14:textId="77777777" w:rsidR="00714DF4" w:rsidRPr="00336B59" w:rsidRDefault="00714DF4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A4A4554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52A0AE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2EADBC0" w14:textId="77777777" w:rsidR="00714DF4" w:rsidRPr="00336B59" w:rsidRDefault="00714DF4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4DF4" w:rsidRPr="00336B59" w14:paraId="47CCF8E2" w14:textId="77777777" w:rsidTr="00284AA5">
        <w:tc>
          <w:tcPr>
            <w:tcW w:w="3150" w:type="dxa"/>
            <w:vAlign w:val="center"/>
          </w:tcPr>
          <w:p w14:paraId="45BB3906" w14:textId="77777777" w:rsidR="00714DF4" w:rsidRPr="00336B59" w:rsidRDefault="00714DF4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A877F6F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B30A082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38A9D9B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4DF4" w:rsidRPr="00336B59" w14:paraId="0C255A78" w14:textId="77777777" w:rsidTr="00284AA5">
        <w:tc>
          <w:tcPr>
            <w:tcW w:w="3150" w:type="dxa"/>
            <w:shd w:val="clear" w:color="auto" w:fill="F2F2F2"/>
            <w:vAlign w:val="center"/>
          </w:tcPr>
          <w:p w14:paraId="1D74CB13" w14:textId="77777777" w:rsidR="00714DF4" w:rsidRPr="00336B59" w:rsidRDefault="00714DF4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9F4AA1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FEDB35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52C3622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4DF4" w:rsidRPr="00336B59" w14:paraId="5DEB0A73" w14:textId="77777777" w:rsidTr="00284AA5">
        <w:tc>
          <w:tcPr>
            <w:tcW w:w="3150" w:type="dxa"/>
            <w:vAlign w:val="center"/>
          </w:tcPr>
          <w:p w14:paraId="100C7634" w14:textId="77777777" w:rsidR="00714DF4" w:rsidRPr="00336B59" w:rsidRDefault="00714DF4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91F5CBE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335B32C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E278A22" w14:textId="77777777" w:rsidR="00714DF4" w:rsidRPr="00336B59" w:rsidRDefault="00714DF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4DF4" w:rsidRPr="00336B59" w14:paraId="5931A888" w14:textId="77777777" w:rsidTr="00284AA5">
        <w:tc>
          <w:tcPr>
            <w:tcW w:w="3150" w:type="dxa"/>
            <w:shd w:val="clear" w:color="auto" w:fill="F2F2F2"/>
            <w:vAlign w:val="center"/>
          </w:tcPr>
          <w:p w14:paraId="1CFCBE4A" w14:textId="77777777" w:rsidR="00714DF4" w:rsidRPr="00336B59" w:rsidRDefault="00714DF4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1CCE90" w14:textId="77777777" w:rsidR="00714DF4" w:rsidRPr="00336B59" w:rsidRDefault="00714DF4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2D2E33" w14:textId="77777777" w:rsidR="00714DF4" w:rsidRPr="00336B59" w:rsidRDefault="00714DF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B5223BC" w14:textId="77777777" w:rsidR="00714DF4" w:rsidRPr="00336B59" w:rsidRDefault="00714DF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14DF4" w:rsidRPr="00336B59" w14:paraId="2240C315" w14:textId="77777777" w:rsidTr="00284AA5">
        <w:tc>
          <w:tcPr>
            <w:tcW w:w="3150" w:type="dxa"/>
            <w:vAlign w:val="center"/>
          </w:tcPr>
          <w:p w14:paraId="611B3CF3" w14:textId="77777777" w:rsidR="00714DF4" w:rsidRPr="00336B59" w:rsidRDefault="00714DF4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6CFE246B" w14:textId="77777777" w:rsidR="00714DF4" w:rsidRPr="00336B59" w:rsidRDefault="00714DF4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CC81D85" w14:textId="77777777" w:rsidR="00714DF4" w:rsidRPr="00336B59" w:rsidRDefault="00714DF4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42172DF" w14:textId="77777777" w:rsidR="00714DF4" w:rsidRPr="00336B59" w:rsidRDefault="00714DF4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14DF4" w:rsidRPr="00336B59" w14:paraId="21AC8908" w14:textId="77777777" w:rsidTr="00284AA5">
        <w:tc>
          <w:tcPr>
            <w:tcW w:w="3150" w:type="dxa"/>
            <w:shd w:val="clear" w:color="auto" w:fill="F2F2F2"/>
            <w:vAlign w:val="center"/>
          </w:tcPr>
          <w:p w14:paraId="2988CFF3" w14:textId="77777777" w:rsidR="00714DF4" w:rsidRPr="00336B59" w:rsidRDefault="00714DF4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9E7685" w14:textId="77777777" w:rsidR="00714DF4" w:rsidRPr="00336B59" w:rsidRDefault="00714DF4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358C9B" w14:textId="77777777" w:rsidR="00714DF4" w:rsidRPr="00336B59" w:rsidRDefault="00714DF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5FEA4E" w14:textId="77777777" w:rsidR="00714DF4" w:rsidRPr="00336B59" w:rsidRDefault="00714DF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14DF4" w:rsidRPr="00336B59" w14:paraId="0220367D" w14:textId="77777777" w:rsidTr="00284AA5">
        <w:tc>
          <w:tcPr>
            <w:tcW w:w="3150" w:type="dxa"/>
            <w:vAlign w:val="center"/>
          </w:tcPr>
          <w:p w14:paraId="7311B173" w14:textId="77777777" w:rsidR="00714DF4" w:rsidRPr="00336B59" w:rsidRDefault="00714DF4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8D175CD" w14:textId="77777777" w:rsidR="00714DF4" w:rsidRPr="00336B59" w:rsidRDefault="00714DF4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6A0F809" w14:textId="77777777" w:rsidR="00714DF4" w:rsidRPr="00336B59" w:rsidRDefault="00714DF4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85864CF" w14:textId="77777777" w:rsidR="00714DF4" w:rsidRPr="00336B59" w:rsidRDefault="00714DF4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14DF4" w:rsidRPr="00336B59" w14:paraId="76438F64" w14:textId="77777777" w:rsidTr="00284AA5">
        <w:tc>
          <w:tcPr>
            <w:tcW w:w="3150" w:type="dxa"/>
            <w:shd w:val="clear" w:color="auto" w:fill="F2F2F2"/>
            <w:vAlign w:val="center"/>
          </w:tcPr>
          <w:p w14:paraId="28D7125B" w14:textId="77777777" w:rsidR="00714DF4" w:rsidRPr="00336B59" w:rsidRDefault="00714DF4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E808B2" w14:textId="77777777" w:rsidR="00714DF4" w:rsidRPr="00336B59" w:rsidRDefault="00714DF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A28B21" w14:textId="77777777" w:rsidR="00714DF4" w:rsidRPr="00336B59" w:rsidRDefault="00714DF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BC02B22" w14:textId="77777777" w:rsidR="00714DF4" w:rsidRPr="00336B59" w:rsidRDefault="00714DF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4DF4" w:rsidRPr="00336B59" w14:paraId="55D9B605" w14:textId="77777777" w:rsidTr="00284AA5">
        <w:tc>
          <w:tcPr>
            <w:tcW w:w="3150" w:type="dxa"/>
            <w:vAlign w:val="center"/>
          </w:tcPr>
          <w:p w14:paraId="18E0D994" w14:textId="77777777" w:rsidR="00714DF4" w:rsidRPr="00336B59" w:rsidRDefault="00714DF4" w:rsidP="00284AA5">
            <w:pPr>
              <w:pStyle w:val="NoSpacing"/>
              <w:jc w:val="center"/>
            </w:pPr>
            <w:bookmarkStart w:id="20" w:name="_Hlk152934941"/>
          </w:p>
        </w:tc>
        <w:tc>
          <w:tcPr>
            <w:tcW w:w="1933" w:type="dxa"/>
            <w:vAlign w:val="center"/>
          </w:tcPr>
          <w:p w14:paraId="0507CC20" w14:textId="77777777" w:rsidR="00714DF4" w:rsidRPr="00336B59" w:rsidRDefault="00B71BD6" w:rsidP="00284AA5">
            <w:pPr>
              <w:pStyle w:val="NoSpacing"/>
              <w:jc w:val="center"/>
            </w:pPr>
            <w:hyperlink r:id="rId11" w:history="1">
              <w:r w:rsidR="00714DF4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72E946F" w14:textId="77777777" w:rsidR="00714DF4" w:rsidRPr="00336B59" w:rsidRDefault="00B71BD6" w:rsidP="00284AA5">
            <w:pPr>
              <w:pStyle w:val="NoSpacing"/>
              <w:jc w:val="center"/>
            </w:pPr>
            <w:hyperlink r:id="rId12" w:history="1">
              <w:r w:rsidR="00714DF4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10131A0" w14:textId="77777777" w:rsidR="00714DF4" w:rsidRPr="00336B59" w:rsidRDefault="00B71BD6" w:rsidP="00284AA5">
            <w:pPr>
              <w:pStyle w:val="NoSpacing"/>
              <w:jc w:val="center"/>
            </w:pPr>
            <w:hyperlink r:id="rId13" w:history="1">
              <w:r w:rsidR="00714DF4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0"/>
      <w:tr w:rsidR="00714DF4" w:rsidRPr="00336B59" w14:paraId="67876166" w14:textId="77777777" w:rsidTr="00284AA5">
        <w:tc>
          <w:tcPr>
            <w:tcW w:w="3150" w:type="dxa"/>
            <w:vAlign w:val="center"/>
          </w:tcPr>
          <w:p w14:paraId="1C28B110" w14:textId="77777777" w:rsidR="00714DF4" w:rsidRPr="00336B59" w:rsidRDefault="00714DF4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01D8515" w14:textId="77777777" w:rsidR="00714DF4" w:rsidRPr="00336B59" w:rsidRDefault="00714DF4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728AEF9" w14:textId="77777777" w:rsidR="00714DF4" w:rsidRPr="00ED1462" w:rsidRDefault="00714DF4" w:rsidP="006D1E08"/>
    <w:sectPr w:rsidR="00714DF4" w:rsidRPr="00ED1462" w:rsidSect="0057225B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5T18:53:00Z" w:initials="AES">
    <w:p w14:paraId="1193998E" w14:textId="77777777" w:rsidR="006C5F06" w:rsidRPr="000217AC" w:rsidRDefault="006C5F06" w:rsidP="006C5F0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>
        <w:t>“</w:t>
      </w:r>
      <w:r w:rsidRPr="000E135D">
        <w:t>How to Write ISO 27001 Procedure for Corrective and Preventive Action</w:t>
      </w:r>
      <w:r w:rsidRPr="000E135D">
        <w:rPr>
          <w:rFonts w:eastAsia="Times New Roman"/>
        </w:rPr>
        <w:t>”.</w:t>
      </w:r>
    </w:p>
    <w:p w14:paraId="6676AA36" w14:textId="77777777" w:rsidR="006C5F06" w:rsidRPr="000217AC" w:rsidRDefault="006C5F06" w:rsidP="006C5F06">
      <w:pPr>
        <w:pStyle w:val="CommentText"/>
      </w:pPr>
    </w:p>
    <w:p w14:paraId="1BA07E80" w14:textId="70A6D0C9" w:rsidR="006C5F06" w:rsidRDefault="006C5F06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0CE2841B" w14:textId="77777777" w:rsidR="006C5F06" w:rsidRDefault="006C5F06" w:rsidP="006C5F06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05T18:55:00Z" w:initials="AES">
    <w:p w14:paraId="08E1C8C8" w14:textId="0308FCD2" w:rsidR="00714DF4" w:rsidRDefault="006C5F06" w:rsidP="00714D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14DF4">
        <w:rPr>
          <w:rStyle w:val="CommentReference"/>
        </w:rPr>
        <w:t>...</w:t>
      </w:r>
    </w:p>
    <w:p w14:paraId="7DA5CB07" w14:textId="764F396B" w:rsidR="006C5F06" w:rsidRDefault="006C5F06">
      <w:pPr>
        <w:pStyle w:val="CommentText"/>
      </w:pPr>
    </w:p>
  </w:comment>
  <w:comment w:id="3" w:author="Advisera" w:date="2023-12-06T07:29:00Z" w:initials="AES">
    <w:p w14:paraId="690DC54E" w14:textId="399398B8" w:rsidR="00E7279D" w:rsidRDefault="00E7279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30T20:42:00Z" w:initials="AES">
    <w:p w14:paraId="2186D5AC" w14:textId="77777777" w:rsidR="006C5F06" w:rsidRDefault="006C5F06" w:rsidP="006C5F06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2-05T18:59:00Z" w:initials="AES">
    <w:p w14:paraId="66400E1A" w14:textId="0F65FED6" w:rsidR="006C5F06" w:rsidRDefault="006C5F06">
      <w:pPr>
        <w:pStyle w:val="CommentText"/>
      </w:pPr>
      <w:r>
        <w:rPr>
          <w:rStyle w:val="CommentReference"/>
        </w:rPr>
        <w:annotationRef/>
      </w:r>
      <w:r w:rsidRPr="006C5F06">
        <w:t>Você pode encontrar um modelo para este documento na pasta “05_Politicas_gerais” do Kit de documentação ISO 27001.</w:t>
      </w:r>
    </w:p>
  </w:comment>
  <w:comment w:id="12" w:author="Advisera" w:date="2023-12-05T18:59:00Z" w:initials="AES">
    <w:p w14:paraId="784DD426" w14:textId="1A265A5E" w:rsidR="006C5F06" w:rsidRPr="006C5F06" w:rsidRDefault="006C5F0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C5F06">
        <w:rPr>
          <w:rFonts w:eastAsia="Times New Roman"/>
          <w:sz w:val="16"/>
          <w:szCs w:val="16"/>
        </w:rPr>
        <w:annotationRef/>
      </w:r>
      <w:r w:rsidRPr="006C5F06">
        <w:rPr>
          <w:rFonts w:eastAsia="Times New Roman"/>
          <w:color w:val="000000" w:themeColor="text1"/>
        </w:rPr>
        <w:t>Você pode encontrar um modelo para este documento na pasta “11_Auditoria_interna” do Kit de documentação ISO 27001.</w:t>
      </w:r>
    </w:p>
  </w:comment>
  <w:comment w:id="13" w:author="Advisera" w:date="2023-12-05T18:59:00Z" w:initials="AES">
    <w:p w14:paraId="68FB5A95" w14:textId="48058BC7" w:rsidR="006C5F06" w:rsidRDefault="006C5F06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A07E80" w15:done="0"/>
  <w15:commentEx w15:paraId="0CE2841B" w15:done="0"/>
  <w15:commentEx w15:paraId="7DA5CB07" w15:done="0"/>
  <w15:commentEx w15:paraId="690DC54E" w15:done="0"/>
  <w15:commentEx w15:paraId="2186D5AC" w15:done="0"/>
  <w15:commentEx w15:paraId="66400E1A" w15:done="0"/>
  <w15:commentEx w15:paraId="784DD426" w15:done="0"/>
  <w15:commentEx w15:paraId="68FB5A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22" w16cex:dateUtc="2020-03-23T01:00:00Z"/>
  <w16cex:commentExtensible w16cex:durableId="2612EE29" w16cex:dateUtc="2020-03-23T01:01:00Z"/>
  <w16cex:commentExtensible w16cex:durableId="2612EE2A" w16cex:dateUtc="2020-03-23T0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E2841B" w16cid:durableId="2919F00A"/>
  <w16cid:commentId w16cid:paraId="7DA5CB07" w16cid:durableId="2919F0A1"/>
  <w16cid:commentId w16cid:paraId="690DC54E" w16cid:durableId="291AA161"/>
  <w16cid:commentId w16cid:paraId="2186D5AC" w16cid:durableId="2919F140"/>
  <w16cid:commentId w16cid:paraId="66400E1A" w16cid:durableId="2919F190"/>
  <w16cid:commentId w16cid:paraId="784DD426" w16cid:durableId="2919F19A"/>
  <w16cid:commentId w16cid:paraId="68FB5A95" w16cid:durableId="2919F1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633F7" w14:textId="77777777" w:rsidR="00B71BD6" w:rsidRDefault="00B71BD6" w:rsidP="0057225B">
      <w:pPr>
        <w:spacing w:after="0" w:line="240" w:lineRule="auto"/>
      </w:pPr>
      <w:r>
        <w:separator/>
      </w:r>
    </w:p>
  </w:endnote>
  <w:endnote w:type="continuationSeparator" w:id="0">
    <w:p w14:paraId="7F30CEBA" w14:textId="77777777" w:rsidR="00B71BD6" w:rsidRDefault="00B71BD6" w:rsidP="0057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829"/>
      <w:gridCol w:w="2068"/>
      <w:gridCol w:w="3171"/>
    </w:tblGrid>
    <w:tr w:rsidR="001E5C84" w:rsidRPr="005A087E" w14:paraId="48022D32" w14:textId="77777777" w:rsidTr="006C5F06">
      <w:tc>
        <w:tcPr>
          <w:tcW w:w="3829" w:type="dxa"/>
        </w:tcPr>
        <w:p w14:paraId="48022D2F" w14:textId="4C05E945" w:rsidR="001E5C84" w:rsidRPr="005A087E" w:rsidRDefault="006C5F06" w:rsidP="005A087E">
          <w:pPr>
            <w:pStyle w:val="Footer"/>
            <w:tabs>
              <w:tab w:val="clear" w:pos="4536"/>
              <w:tab w:val="clear" w:pos="9072"/>
              <w:tab w:val="right" w:pos="3720"/>
            </w:tabs>
            <w:rPr>
              <w:sz w:val="18"/>
              <w:szCs w:val="18"/>
            </w:rPr>
          </w:pPr>
          <w:r w:rsidRPr="006C5F06">
            <w:rPr>
              <w:sz w:val="18"/>
            </w:rPr>
            <w:t>Procedimento de ação corretiva</w:t>
          </w:r>
        </w:p>
      </w:tc>
      <w:tc>
        <w:tcPr>
          <w:tcW w:w="2068" w:type="dxa"/>
        </w:tcPr>
        <w:p w14:paraId="48022D30" w14:textId="77777777" w:rsidR="001E5C84" w:rsidRPr="005A087E" w:rsidRDefault="001E5C84" w:rsidP="0057225B">
          <w:pPr>
            <w:pStyle w:val="Footer"/>
            <w:jc w:val="center"/>
            <w:rPr>
              <w:sz w:val="18"/>
              <w:szCs w:val="18"/>
            </w:rPr>
          </w:pPr>
          <w:r w:rsidRPr="005A087E">
            <w:rPr>
              <w:sz w:val="18"/>
            </w:rPr>
            <w:t>ver [versão] de [data]</w:t>
          </w:r>
        </w:p>
      </w:tc>
      <w:tc>
        <w:tcPr>
          <w:tcW w:w="3171" w:type="dxa"/>
        </w:tcPr>
        <w:p w14:paraId="48022D31" w14:textId="33202AF2" w:rsidR="001E5C84" w:rsidRPr="005A087E" w:rsidRDefault="001E5C84" w:rsidP="0057225B">
          <w:pPr>
            <w:pStyle w:val="Footer"/>
            <w:jc w:val="right"/>
            <w:rPr>
              <w:b/>
              <w:sz w:val="18"/>
              <w:szCs w:val="18"/>
            </w:rPr>
          </w:pPr>
          <w:r w:rsidRPr="005A087E">
            <w:rPr>
              <w:sz w:val="18"/>
            </w:rPr>
            <w:t xml:space="preserve">Página </w:t>
          </w:r>
          <w:r w:rsidRPr="005A087E">
            <w:rPr>
              <w:b/>
              <w:sz w:val="18"/>
            </w:rPr>
            <w:fldChar w:fldCharType="begin"/>
          </w:r>
          <w:r w:rsidRPr="005A087E">
            <w:rPr>
              <w:b/>
              <w:sz w:val="18"/>
            </w:rPr>
            <w:instrText xml:space="preserve"> PAGE </w:instrText>
          </w:r>
          <w:r w:rsidRPr="005A087E">
            <w:rPr>
              <w:b/>
              <w:sz w:val="18"/>
            </w:rPr>
            <w:fldChar w:fldCharType="separate"/>
          </w:r>
          <w:r w:rsidR="001F72D6">
            <w:rPr>
              <w:b/>
              <w:sz w:val="18"/>
            </w:rPr>
            <w:t>3</w:t>
          </w:r>
          <w:r w:rsidRPr="005A087E">
            <w:rPr>
              <w:b/>
              <w:sz w:val="18"/>
            </w:rPr>
            <w:fldChar w:fldCharType="end"/>
          </w:r>
          <w:r w:rsidRPr="005A087E">
            <w:rPr>
              <w:sz w:val="18"/>
            </w:rPr>
            <w:t xml:space="preserve"> de </w:t>
          </w:r>
          <w:r w:rsidRPr="005A087E">
            <w:rPr>
              <w:b/>
              <w:sz w:val="18"/>
            </w:rPr>
            <w:fldChar w:fldCharType="begin"/>
          </w:r>
          <w:r w:rsidRPr="005A087E">
            <w:rPr>
              <w:b/>
              <w:sz w:val="18"/>
            </w:rPr>
            <w:instrText xml:space="preserve"> NUMPAGES  </w:instrText>
          </w:r>
          <w:r w:rsidRPr="005A087E">
            <w:rPr>
              <w:b/>
              <w:sz w:val="18"/>
            </w:rPr>
            <w:fldChar w:fldCharType="separate"/>
          </w:r>
          <w:r w:rsidR="001F72D6">
            <w:rPr>
              <w:b/>
              <w:sz w:val="18"/>
            </w:rPr>
            <w:t>4</w:t>
          </w:r>
          <w:r w:rsidRPr="005A087E">
            <w:rPr>
              <w:b/>
              <w:sz w:val="18"/>
            </w:rPr>
            <w:fldChar w:fldCharType="end"/>
          </w:r>
        </w:p>
      </w:tc>
    </w:tr>
  </w:tbl>
  <w:p w14:paraId="48022D33" w14:textId="408636B7" w:rsidR="001E5C84" w:rsidRPr="005A087E" w:rsidRDefault="001E5C84" w:rsidP="005722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A087E">
      <w:rPr>
        <w:sz w:val="16"/>
      </w:rPr>
      <w:t>©20</w:t>
    </w:r>
    <w:r>
      <w:rPr>
        <w:sz w:val="16"/>
      </w:rPr>
      <w:t>23</w:t>
    </w:r>
    <w:r w:rsidRPr="005A087E">
      <w:rPr>
        <w:sz w:val="16"/>
      </w:rPr>
      <w:t xml:space="preserve"> Este modelo pode ser usado por clientes da </w:t>
    </w:r>
    <w:r w:rsidRPr="004640BE">
      <w:rPr>
        <w:sz w:val="16"/>
      </w:rPr>
      <w:t>Advisera Expert Solutions Ltd. www.advisera.com</w:t>
    </w:r>
    <w:r w:rsidRPr="005A087E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22D34" w14:textId="1065533B" w:rsidR="001E5C84" w:rsidRPr="006E42D4" w:rsidRDefault="001E5C84" w:rsidP="005722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E42D4">
      <w:rPr>
        <w:sz w:val="16"/>
      </w:rPr>
      <w:t>©20</w:t>
    </w:r>
    <w:r>
      <w:rPr>
        <w:sz w:val="16"/>
      </w:rPr>
      <w:t>23</w:t>
    </w:r>
    <w:r w:rsidRPr="006E42D4">
      <w:rPr>
        <w:sz w:val="16"/>
      </w:rPr>
      <w:t xml:space="preserve"> Este modelo pode ser usado por clientes da </w:t>
    </w:r>
    <w:r w:rsidRPr="007616CB">
      <w:rPr>
        <w:sz w:val="16"/>
      </w:rPr>
      <w:t>Advisera Expert Solutions Ltd. www.advisera.com</w:t>
    </w:r>
    <w:r w:rsidRPr="006E42D4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B206" w14:textId="77777777" w:rsidR="00B71BD6" w:rsidRDefault="00B71BD6" w:rsidP="0057225B">
      <w:pPr>
        <w:spacing w:after="0" w:line="240" w:lineRule="auto"/>
      </w:pPr>
      <w:r>
        <w:separator/>
      </w:r>
    </w:p>
  </w:footnote>
  <w:footnote w:type="continuationSeparator" w:id="0">
    <w:p w14:paraId="135191D4" w14:textId="77777777" w:rsidR="00B71BD6" w:rsidRDefault="00B71BD6" w:rsidP="0057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1E5C84" w:rsidRPr="00A64AD4" w14:paraId="48022D2D" w14:textId="77777777" w:rsidTr="0057225B">
      <w:tc>
        <w:tcPr>
          <w:tcW w:w="6771" w:type="dxa"/>
        </w:tcPr>
        <w:p w14:paraId="48022D2B" w14:textId="77777777" w:rsidR="001E5C84" w:rsidRPr="00A64AD4" w:rsidRDefault="001E5C84" w:rsidP="0057225B">
          <w:pPr>
            <w:pStyle w:val="Header"/>
            <w:spacing w:after="0"/>
            <w:rPr>
              <w:sz w:val="20"/>
              <w:szCs w:val="20"/>
            </w:rPr>
          </w:pPr>
          <w:r w:rsidRPr="00A64AD4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8022D2C" w14:textId="77777777" w:rsidR="001E5C84" w:rsidRPr="00A64AD4" w:rsidRDefault="001E5C84" w:rsidP="0057225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64AD4">
            <w:rPr>
              <w:sz w:val="20"/>
            </w:rPr>
            <w:t>[nível de confidencialidade]</w:t>
          </w:r>
        </w:p>
      </w:tc>
    </w:tr>
  </w:tbl>
  <w:p w14:paraId="48022D2E" w14:textId="77777777" w:rsidR="001E5C84" w:rsidRPr="00A64AD4" w:rsidRDefault="001E5C84" w:rsidP="0057225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E44CF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8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01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2B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1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BC8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A0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04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41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44294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7AFA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AB6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41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CD4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268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E5B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98D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C1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CB169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81C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387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E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AA2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A65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E5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4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60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C5FC0"/>
    <w:multiLevelType w:val="hybridMultilevel"/>
    <w:tmpl w:val="2B2ED83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04C41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C5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87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8F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0B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CE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EF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CD2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C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55BE9"/>
    <w:multiLevelType w:val="hybridMultilevel"/>
    <w:tmpl w:val="7BB434D2"/>
    <w:lvl w:ilvl="0" w:tplc="08843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44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ED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29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E8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02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A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80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6D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434C8"/>
    <w:multiLevelType w:val="hybridMultilevel"/>
    <w:tmpl w:val="4F7822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E544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E3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2AD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88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485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E2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E3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3A5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A1362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78E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F2C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C86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266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926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AC5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AB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0E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244CF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C0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E4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E5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8B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66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AB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CB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4E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174C1"/>
    <w:multiLevelType w:val="hybridMultilevel"/>
    <w:tmpl w:val="DF0C8D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D3258"/>
    <w:multiLevelType w:val="hybridMultilevel"/>
    <w:tmpl w:val="32C29178"/>
    <w:lvl w:ilvl="0" w:tplc="CC848E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1E5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66D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263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A0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68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8A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C5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36C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E1A07"/>
    <w:multiLevelType w:val="hybridMultilevel"/>
    <w:tmpl w:val="B8426F92"/>
    <w:lvl w:ilvl="0" w:tplc="4B044BE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444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5C94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702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A4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E6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46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E00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7C8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A6455"/>
    <w:multiLevelType w:val="hybridMultilevel"/>
    <w:tmpl w:val="AD343C76"/>
    <w:lvl w:ilvl="0" w:tplc="05782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6CBADE" w:tentative="1">
      <w:start w:val="1"/>
      <w:numFmt w:val="lowerLetter"/>
      <w:lvlText w:val="%2."/>
      <w:lvlJc w:val="left"/>
      <w:pPr>
        <w:ind w:left="1440" w:hanging="360"/>
      </w:pPr>
    </w:lvl>
    <w:lvl w:ilvl="2" w:tplc="8FA66C02" w:tentative="1">
      <w:start w:val="1"/>
      <w:numFmt w:val="lowerRoman"/>
      <w:lvlText w:val="%3."/>
      <w:lvlJc w:val="right"/>
      <w:pPr>
        <w:ind w:left="2160" w:hanging="180"/>
      </w:pPr>
    </w:lvl>
    <w:lvl w:ilvl="3" w:tplc="E2BE2A66" w:tentative="1">
      <w:start w:val="1"/>
      <w:numFmt w:val="decimal"/>
      <w:lvlText w:val="%4."/>
      <w:lvlJc w:val="left"/>
      <w:pPr>
        <w:ind w:left="2880" w:hanging="360"/>
      </w:pPr>
    </w:lvl>
    <w:lvl w:ilvl="4" w:tplc="0622B1AC" w:tentative="1">
      <w:start w:val="1"/>
      <w:numFmt w:val="lowerLetter"/>
      <w:lvlText w:val="%5."/>
      <w:lvlJc w:val="left"/>
      <w:pPr>
        <w:ind w:left="3600" w:hanging="360"/>
      </w:pPr>
    </w:lvl>
    <w:lvl w:ilvl="5" w:tplc="9E32822A" w:tentative="1">
      <w:start w:val="1"/>
      <w:numFmt w:val="lowerRoman"/>
      <w:lvlText w:val="%6."/>
      <w:lvlJc w:val="right"/>
      <w:pPr>
        <w:ind w:left="4320" w:hanging="180"/>
      </w:pPr>
    </w:lvl>
    <w:lvl w:ilvl="6" w:tplc="0EB0BD6C" w:tentative="1">
      <w:start w:val="1"/>
      <w:numFmt w:val="decimal"/>
      <w:lvlText w:val="%7."/>
      <w:lvlJc w:val="left"/>
      <w:pPr>
        <w:ind w:left="5040" w:hanging="360"/>
      </w:pPr>
    </w:lvl>
    <w:lvl w:ilvl="7" w:tplc="51E667A0" w:tentative="1">
      <w:start w:val="1"/>
      <w:numFmt w:val="lowerLetter"/>
      <w:lvlText w:val="%8."/>
      <w:lvlJc w:val="left"/>
      <w:pPr>
        <w:ind w:left="5760" w:hanging="360"/>
      </w:pPr>
    </w:lvl>
    <w:lvl w:ilvl="8" w:tplc="02B42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477E6"/>
    <w:multiLevelType w:val="hybridMultilevel"/>
    <w:tmpl w:val="8D428BC2"/>
    <w:lvl w:ilvl="0" w:tplc="83283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5A136C" w:tentative="1">
      <w:start w:val="1"/>
      <w:numFmt w:val="lowerLetter"/>
      <w:lvlText w:val="%2."/>
      <w:lvlJc w:val="left"/>
      <w:pPr>
        <w:ind w:left="1440" w:hanging="360"/>
      </w:pPr>
    </w:lvl>
    <w:lvl w:ilvl="2" w:tplc="692C194C" w:tentative="1">
      <w:start w:val="1"/>
      <w:numFmt w:val="lowerRoman"/>
      <w:lvlText w:val="%3."/>
      <w:lvlJc w:val="right"/>
      <w:pPr>
        <w:ind w:left="2160" w:hanging="180"/>
      </w:pPr>
    </w:lvl>
    <w:lvl w:ilvl="3" w:tplc="E6ACEB4E" w:tentative="1">
      <w:start w:val="1"/>
      <w:numFmt w:val="decimal"/>
      <w:lvlText w:val="%4."/>
      <w:lvlJc w:val="left"/>
      <w:pPr>
        <w:ind w:left="2880" w:hanging="360"/>
      </w:pPr>
    </w:lvl>
    <w:lvl w:ilvl="4" w:tplc="B91638B4" w:tentative="1">
      <w:start w:val="1"/>
      <w:numFmt w:val="lowerLetter"/>
      <w:lvlText w:val="%5."/>
      <w:lvlJc w:val="left"/>
      <w:pPr>
        <w:ind w:left="3600" w:hanging="360"/>
      </w:pPr>
    </w:lvl>
    <w:lvl w:ilvl="5" w:tplc="C400DC5A" w:tentative="1">
      <w:start w:val="1"/>
      <w:numFmt w:val="lowerRoman"/>
      <w:lvlText w:val="%6."/>
      <w:lvlJc w:val="right"/>
      <w:pPr>
        <w:ind w:left="4320" w:hanging="180"/>
      </w:pPr>
    </w:lvl>
    <w:lvl w:ilvl="6" w:tplc="05224DE2" w:tentative="1">
      <w:start w:val="1"/>
      <w:numFmt w:val="decimal"/>
      <w:lvlText w:val="%7."/>
      <w:lvlJc w:val="left"/>
      <w:pPr>
        <w:ind w:left="5040" w:hanging="360"/>
      </w:pPr>
    </w:lvl>
    <w:lvl w:ilvl="7" w:tplc="3D962144" w:tentative="1">
      <w:start w:val="1"/>
      <w:numFmt w:val="lowerLetter"/>
      <w:lvlText w:val="%8."/>
      <w:lvlJc w:val="left"/>
      <w:pPr>
        <w:ind w:left="5760" w:hanging="360"/>
      </w:pPr>
    </w:lvl>
    <w:lvl w:ilvl="8" w:tplc="93DCC5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4"/>
  </w:num>
  <w:num w:numId="11">
    <w:abstractNumId w:val="15"/>
  </w:num>
  <w:num w:numId="12">
    <w:abstractNumId w:val="13"/>
  </w:num>
  <w:num w:numId="13">
    <w:abstractNumId w:val="6"/>
  </w:num>
  <w:num w:numId="14">
    <w:abstractNumId w:val="11"/>
  </w:num>
  <w:num w:numId="15">
    <w:abstractNumId w:val="7"/>
  </w:num>
  <w:num w:numId="1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59BB"/>
    <w:rsid w:val="000655EE"/>
    <w:rsid w:val="00087637"/>
    <w:rsid w:val="00097315"/>
    <w:rsid w:val="001205AF"/>
    <w:rsid w:val="00124F95"/>
    <w:rsid w:val="0014148D"/>
    <w:rsid w:val="00163E20"/>
    <w:rsid w:val="001853DA"/>
    <w:rsid w:val="001E5C84"/>
    <w:rsid w:val="001F72D6"/>
    <w:rsid w:val="00257D3F"/>
    <w:rsid w:val="00257D53"/>
    <w:rsid w:val="002F2100"/>
    <w:rsid w:val="0034556F"/>
    <w:rsid w:val="003513DF"/>
    <w:rsid w:val="00370EE4"/>
    <w:rsid w:val="003805DF"/>
    <w:rsid w:val="00393206"/>
    <w:rsid w:val="003A4244"/>
    <w:rsid w:val="003B19E7"/>
    <w:rsid w:val="003C6C90"/>
    <w:rsid w:val="003F3B00"/>
    <w:rsid w:val="003F494C"/>
    <w:rsid w:val="00416901"/>
    <w:rsid w:val="00423DE2"/>
    <w:rsid w:val="00425970"/>
    <w:rsid w:val="004364E6"/>
    <w:rsid w:val="004640BE"/>
    <w:rsid w:val="00493711"/>
    <w:rsid w:val="0051040A"/>
    <w:rsid w:val="0057225B"/>
    <w:rsid w:val="005A087E"/>
    <w:rsid w:val="005A20BD"/>
    <w:rsid w:val="00687DDD"/>
    <w:rsid w:val="00691CA5"/>
    <w:rsid w:val="006B2451"/>
    <w:rsid w:val="006C5F06"/>
    <w:rsid w:val="006D1E08"/>
    <w:rsid w:val="006E42D4"/>
    <w:rsid w:val="00714DF4"/>
    <w:rsid w:val="00754B16"/>
    <w:rsid w:val="007575E9"/>
    <w:rsid w:val="007616CB"/>
    <w:rsid w:val="007C2039"/>
    <w:rsid w:val="007D012E"/>
    <w:rsid w:val="007D1457"/>
    <w:rsid w:val="007E3316"/>
    <w:rsid w:val="008057AB"/>
    <w:rsid w:val="008A1E6B"/>
    <w:rsid w:val="00925922"/>
    <w:rsid w:val="00927DFD"/>
    <w:rsid w:val="009614CA"/>
    <w:rsid w:val="009A4232"/>
    <w:rsid w:val="009A6286"/>
    <w:rsid w:val="009C38C3"/>
    <w:rsid w:val="00A64AD4"/>
    <w:rsid w:val="00A70663"/>
    <w:rsid w:val="00B35A9F"/>
    <w:rsid w:val="00B71BD6"/>
    <w:rsid w:val="00B75D19"/>
    <w:rsid w:val="00B77361"/>
    <w:rsid w:val="00C06A4C"/>
    <w:rsid w:val="00C11090"/>
    <w:rsid w:val="00C4267C"/>
    <w:rsid w:val="00C56AF0"/>
    <w:rsid w:val="00C61E0C"/>
    <w:rsid w:val="00C71B9D"/>
    <w:rsid w:val="00D34EFB"/>
    <w:rsid w:val="00D4133E"/>
    <w:rsid w:val="00D9584B"/>
    <w:rsid w:val="00DA55A8"/>
    <w:rsid w:val="00DA79CB"/>
    <w:rsid w:val="00DA7F1A"/>
    <w:rsid w:val="00DE4D39"/>
    <w:rsid w:val="00E43ED8"/>
    <w:rsid w:val="00E47DA6"/>
    <w:rsid w:val="00E7279D"/>
    <w:rsid w:val="00EA00E1"/>
    <w:rsid w:val="00EB643F"/>
    <w:rsid w:val="00EC7A96"/>
    <w:rsid w:val="00ED1462"/>
    <w:rsid w:val="00EE6387"/>
    <w:rsid w:val="00F0738E"/>
    <w:rsid w:val="00F11F41"/>
    <w:rsid w:val="00F33F08"/>
    <w:rsid w:val="00F40484"/>
    <w:rsid w:val="00F71DC7"/>
    <w:rsid w:val="00F7279E"/>
    <w:rsid w:val="00F90BD0"/>
    <w:rsid w:val="00FA6381"/>
    <w:rsid w:val="00FC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022C5A"/>
  <w15:docId w15:val="{C7889D8A-4C09-4DAC-90D5-DC69090C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5F06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364E6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4364E6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4364E6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4364E6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4364E6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4364E6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364E6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8A1E6B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0359B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267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64E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C5F06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4248-04ED-4E3A-93D4-7509E804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de ação corretiva</vt:lpstr>
      <vt:lpstr>Procedimento para ações corretivas</vt:lpstr>
      <vt:lpstr>Procedimento para ações corretivas e preventivas</vt:lpstr>
    </vt:vector>
  </TitlesOfParts>
  <Company>Advisera Expert Solutions Ltd</Company>
  <LinksUpToDate>false</LinksUpToDate>
  <CharactersWithSpaces>4906</CharactersWithSpaces>
  <SharedDoc>false</SharedDoc>
  <HLinks>
    <vt:vector size="78" baseType="variant"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_Toc297333780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_Toc297333779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_Toc297333778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_Toc297333777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_Toc297333776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_Toc297333775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_Toc297333774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_Toc297333773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_Toc297333772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_Toc297333771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_Toc297333770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ação corretiva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2023-12-12T08:28:00Z</dcterms:created>
  <dcterms:modified xsi:type="dcterms:W3CDTF">2023-12-13T12:45:00Z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35bf0071f161aa26320ec372607fc17c286602cd328936b1984351ff95c1defe</vt:lpwstr>
  </property>
</Properties>
</file>